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8" w:rsidRDefault="00A47CB8" w:rsidP="00A47CB8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№ 2  </w:t>
      </w:r>
    </w:p>
    <w:p w:rsidR="000D6B09" w:rsidRDefault="000D6B09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0211E">
        <w:rPr>
          <w:rFonts w:ascii="Times New Roman" w:hAnsi="Times New Roman"/>
          <w:b/>
          <w:sz w:val="26"/>
          <w:szCs w:val="26"/>
        </w:rPr>
        <w:t xml:space="preserve">Раздел III.  </w:t>
      </w:r>
      <w:r w:rsidR="00363849">
        <w:rPr>
          <w:rFonts w:ascii="Times New Roman" w:hAnsi="Times New Roman"/>
          <w:b/>
          <w:sz w:val="26"/>
          <w:szCs w:val="26"/>
        </w:rPr>
        <w:t xml:space="preserve">Мероприятия </w:t>
      </w:r>
      <w:r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товарных рынках </w:t>
      </w:r>
      <w:proofErr w:type="spellStart"/>
      <w:r w:rsidR="004C3450">
        <w:rPr>
          <w:rFonts w:ascii="Times New Roman" w:hAnsi="Times New Roman"/>
          <w:b/>
          <w:sz w:val="26"/>
          <w:szCs w:val="26"/>
        </w:rPr>
        <w:t>Грайворонского</w:t>
      </w:r>
      <w:proofErr w:type="spellEnd"/>
      <w:r w:rsidR="004C3450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b/>
          <w:sz w:val="26"/>
          <w:szCs w:val="26"/>
        </w:rPr>
        <w:t>Белгородской области</w:t>
      </w:r>
      <w:r w:rsidR="0065618D">
        <w:rPr>
          <w:rFonts w:ascii="Times New Roman" w:hAnsi="Times New Roman"/>
          <w:b/>
          <w:sz w:val="26"/>
          <w:szCs w:val="26"/>
        </w:rPr>
        <w:t xml:space="preserve"> на 2019-2021 годы</w:t>
      </w: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00" w:type="dxa"/>
        <w:jc w:val="center"/>
        <w:tblLayout w:type="fixed"/>
        <w:tblLook w:val="04A0"/>
      </w:tblPr>
      <w:tblGrid>
        <w:gridCol w:w="989"/>
        <w:gridCol w:w="5533"/>
        <w:gridCol w:w="1657"/>
        <w:gridCol w:w="3826"/>
        <w:gridCol w:w="2995"/>
      </w:tblGrid>
      <w:tr w:rsidR="003C1003" w:rsidTr="00137186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 w:rsidP="00A4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A47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2020</w:t>
            </w:r>
            <w:r w:rsidR="00893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3C1003" w:rsidTr="00137186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35" w:rsidTr="00137186">
        <w:trPr>
          <w:trHeight w:val="299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5" w:rsidRPr="00757535" w:rsidRDefault="00757535" w:rsidP="0075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5" w:rsidRPr="00757535" w:rsidRDefault="00757535" w:rsidP="0075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5" w:rsidRPr="00757535" w:rsidRDefault="00757535" w:rsidP="0075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5" w:rsidRPr="00757535" w:rsidRDefault="00757535" w:rsidP="0075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5" w:rsidRPr="00757535" w:rsidRDefault="00757535" w:rsidP="0075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7442F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 в получении из областного бюджета субсидий гражданам на получение услуги по присмотру                                      и уходу  за детьми дошкольного возраста в частных дошкольных организациях и у индивидуальных предпринимателей, а также частным дошкольным организациям и индивидуальным предпринимателям, оказывающим данную услугу                                    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Pr="00137186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442F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Pr="004C3450" w:rsidRDefault="007442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442F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помощи                                      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442F9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частных дошкольных образовательных организаций                               и индивидуальных предпринимателей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деятельности общественных советов, рабочих групп, обсуждениях 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2F9" w:rsidRDefault="007442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</w:t>
            </w:r>
          </w:p>
          <w:p w:rsidR="007442F9" w:rsidRDefault="007442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на базе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53759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2F28CC">
            <w:pPr>
              <w:tabs>
                <w:tab w:val="left" w:pos="164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между управлением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частными дошкольными образовательными организациями                        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                                     за детьми в соответствии с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Белгородской области от 24 апреля 2017 года № 137-пп «О поддержке альтернативных форм предоставления дошкольного образования»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1D366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AD7C4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1C7E8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принимают участие в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дорожной карты.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«Доступное дополнительное образование»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новые места дополнительного образования детей: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«Свет и цвет» (на 90 чел.) и клуб юных инспекторов движения (на 90 чел.)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048" w:rsidRDefault="00BA7048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базе Центра детского творчества города Грайворона действует консультационный пункт для физических и юридических лиц, желающих предоставить услуги дополнительного образования детей</w:t>
            </w:r>
            <w:r w:rsidR="004037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68350E" w:rsidRDefault="0068350E" w:rsidP="00491F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1C" w:rsidRDefault="008F291C" w:rsidP="00491F8F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 Всероссийского конкурса дополнительных общеобразовательных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программ естественнонаучной направленности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БиоТОППРОФИ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номинация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Биологос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2 место. 1 место в областном конкурсе программ организации летнего отдыха</w:t>
            </w:r>
          </w:p>
          <w:p w:rsidR="0068350E" w:rsidRDefault="0068350E" w:rsidP="00491F8F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– в областном конкурсе дополнительных общеобразовательных программ и учебно-методических материалов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«Методический кейс педагога дополнительного образования» </w:t>
            </w:r>
          </w:p>
          <w:p w:rsidR="0068350E" w:rsidRDefault="0068350E" w:rsidP="00491F8F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Петровна, педагог дополнительного образования</w:t>
            </w:r>
            <w:r w:rsidR="008F29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МБУ ДО  </w:t>
            </w:r>
            <w:r w:rsidR="009F4FF9">
              <w:rPr>
                <w:rFonts w:ascii="Times New Roman" w:eastAsia="Times New Roman" w:hAnsi="Times New Roman"/>
                <w:sz w:val="24"/>
                <w:szCs w:val="24"/>
              </w:rPr>
              <w:t>«Центр детского творчества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End"/>
          </w:p>
          <w:p w:rsidR="0068350E" w:rsidRDefault="0068350E" w:rsidP="00491F8F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Приказ  №</w:t>
            </w:r>
            <w:r w:rsidR="009F4F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3292 от 30.12.2020</w:t>
            </w:r>
            <w:r w:rsidR="009F4F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350E" w:rsidRDefault="0068350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ведение в сети Интернет электронного информационного ресурса по нормативно-правовой, организационной, научно-методической поддержке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регионе</w:t>
            </w:r>
          </w:p>
          <w:p w:rsidR="0068350E" w:rsidRDefault="0068350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Default"/>
              <w:spacing w:line="232" w:lineRule="auto"/>
              <w:ind w:left="-57" w:right="-57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Pr="00467F11" w:rsidRDefault="0068350E" w:rsidP="00491F8F">
            <w:pPr>
              <w:pStyle w:val="aa"/>
              <w:spacing w:line="232" w:lineRule="auto"/>
              <w:ind w:left="-57" w:right="-57"/>
              <w:jc w:val="both"/>
              <w:rPr>
                <w:b w:val="0"/>
                <w:bCs w:val="0"/>
                <w:sz w:val="24"/>
              </w:rPr>
            </w:pPr>
            <w:r w:rsidRPr="00467F11">
              <w:rPr>
                <w:b w:val="0"/>
                <w:bCs w:val="0"/>
                <w:kern w:val="36"/>
                <w:sz w:val="24"/>
              </w:rPr>
              <w:t>Ч</w:t>
            </w:r>
            <w:r w:rsidRPr="00467F11">
              <w:rPr>
                <w:b w:val="0"/>
                <w:kern w:val="36"/>
                <w:sz w:val="24"/>
              </w:rPr>
              <w:t>астной формы собственности в сфере услуг дополнительного образования</w:t>
            </w:r>
            <w:r w:rsidRPr="00467F11">
              <w:rPr>
                <w:b w:val="0"/>
                <w:sz w:val="24"/>
              </w:rPr>
              <w:t xml:space="preserve"> детей в </w:t>
            </w:r>
            <w:proofErr w:type="spellStart"/>
            <w:r w:rsidRPr="00467F11">
              <w:rPr>
                <w:b w:val="0"/>
                <w:sz w:val="24"/>
              </w:rPr>
              <w:t>Грайворонском</w:t>
            </w:r>
            <w:proofErr w:type="spellEnd"/>
            <w:r w:rsidRPr="00467F11">
              <w:rPr>
                <w:b w:val="0"/>
                <w:sz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участия представителей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сферы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Pr="00467F11" w:rsidRDefault="0068350E" w:rsidP="00491F8F">
            <w:pPr>
              <w:pStyle w:val="aa"/>
              <w:spacing w:line="232" w:lineRule="auto"/>
              <w:ind w:left="-57" w:right="-57"/>
              <w:jc w:val="both"/>
              <w:rPr>
                <w:b w:val="0"/>
                <w:bCs w:val="0"/>
                <w:sz w:val="24"/>
              </w:rPr>
            </w:pPr>
            <w:r w:rsidRPr="00467F11">
              <w:rPr>
                <w:b w:val="0"/>
                <w:bCs w:val="0"/>
                <w:kern w:val="36"/>
                <w:sz w:val="24"/>
              </w:rPr>
              <w:t>Ч</w:t>
            </w:r>
            <w:r w:rsidRPr="00467F11">
              <w:rPr>
                <w:b w:val="0"/>
                <w:kern w:val="36"/>
                <w:sz w:val="24"/>
              </w:rPr>
              <w:t>астной формы собственности в сфере услуг дополнительного образования</w:t>
            </w:r>
            <w:r w:rsidRPr="00467F11">
              <w:rPr>
                <w:b w:val="0"/>
                <w:sz w:val="24"/>
              </w:rPr>
              <w:t xml:space="preserve"> детей в </w:t>
            </w:r>
            <w:proofErr w:type="spellStart"/>
            <w:r w:rsidRPr="00467F11">
              <w:rPr>
                <w:b w:val="0"/>
                <w:sz w:val="24"/>
              </w:rPr>
              <w:t>Грайворонском</w:t>
            </w:r>
            <w:proofErr w:type="spellEnd"/>
            <w:r w:rsidRPr="00467F11">
              <w:rPr>
                <w:b w:val="0"/>
                <w:sz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491F8F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50E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B34F6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 районной больницы                                             на официальном сайте </w:t>
            </w:r>
            <w:r w:rsidRPr="005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http://grayvoron-crb.belzdrav.ru/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425DDC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="00FE1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актуализируется на постоянной основе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68350E" w:rsidTr="005C3DA6">
        <w:trPr>
          <w:trHeight w:val="15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 w:rsidP="006E3CD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C87EC0" w:rsidP="00C255B0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1.01.2021 года в сельской местности осу</w:t>
            </w:r>
            <w:r w:rsidR="00C2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ществляют деятельность 3 </w:t>
            </w:r>
            <w:proofErr w:type="gramStart"/>
            <w:r w:rsidR="00C2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аптечных</w:t>
            </w:r>
            <w:proofErr w:type="gramEnd"/>
            <w:r w:rsidR="00C2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учреждения. </w:t>
            </w:r>
            <w:r w:rsidR="00A57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наличии аптек и аптечных пунктов на территории </w:t>
            </w:r>
            <w:proofErr w:type="spellStart"/>
            <w:r w:rsidR="00A57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 w:rsidR="00A57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размещена на сайте администрации в раздел</w:t>
            </w:r>
            <w:r w:rsidR="00C2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="00A57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«Предпринимательство»</w:t>
            </w:r>
            <w:r w:rsidR="00C2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8350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50E" w:rsidRDefault="0068350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C87EC0" w:rsidTr="00137186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 w:rsidP="00491F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возможности оказания социальных услуг (сиделок, по уходу за пожилыми одинокими людьми и т.д.) субъектами бизнеса, о возможности получения государственных субсидий на данные виды деятельности размещена на официальном сайте управления социальной защиты населения городского округа</w:t>
            </w:r>
          </w:p>
          <w:p w:rsidR="00C87EC0" w:rsidRDefault="00C87EC0" w:rsidP="00491F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>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 w:rsidP="00847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C87EC0" w:rsidTr="00137186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Pr="00D972DA" w:rsidRDefault="00C87EC0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для помощи в</w:t>
            </w:r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 w:rsidRPr="00D972D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2DA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(http://kcgrayvoron.ru/)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EC0" w:rsidRDefault="00C87EC0" w:rsidP="00F1276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EC0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Жилищно-коммунальный комплекс</w:t>
            </w:r>
          </w:p>
        </w:tc>
      </w:tr>
      <w:tr w:rsidR="00C87EC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C87EC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 w:rsidP="008D533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Наличие на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городского округа полного перечня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C5" w:rsidRDefault="00C87EC0" w:rsidP="00F06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66C5">
              <w:rPr>
                <w:rFonts w:ascii="Times New Roman" w:eastAsia="Times New Roman" w:hAnsi="Times New Roman"/>
                <w:sz w:val="24"/>
                <w:szCs w:val="24"/>
              </w:rPr>
              <w:t xml:space="preserve">Полный перечень </w:t>
            </w:r>
            <w:proofErr w:type="spellStart"/>
            <w:r w:rsidR="00F066C5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="00F066C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 размещен на официальном сайте органов местного самоуправления </w:t>
            </w:r>
            <w:proofErr w:type="spellStart"/>
            <w:r w:rsidR="00F066C5">
              <w:rPr>
                <w:rFonts w:ascii="Times New Roman" w:eastAsia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F066C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</w:t>
            </w:r>
            <w:hyperlink r:id="rId5" w:history="1">
              <w:r w:rsidR="00F066C5" w:rsidRPr="0072253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http://www.graivoron.ru/deyatelnost/zhkh-i-blagoustrojstvo/</w:t>
              </w:r>
            </w:hyperlink>
          </w:p>
          <w:p w:rsidR="00C87EC0" w:rsidRDefault="00C8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87EC0" w:rsidRDefault="00C8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7EC0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EC0" w:rsidRDefault="00C87EC0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EB5D27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Pr="00C35B35" w:rsidRDefault="00EB5D27" w:rsidP="00C35B35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35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B35">
              <w:rPr>
                <w:rFonts w:ascii="Times New Roman" w:hAnsi="Times New Roman"/>
                <w:sz w:val="24"/>
                <w:szCs w:val="24"/>
              </w:rPr>
              <w:t xml:space="preserve"> о преимуществе раздельного сбора мусора и методике </w:t>
            </w:r>
            <w:proofErr w:type="spellStart"/>
            <w:r w:rsidRPr="00C35B35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Pr="003A1D9A" w:rsidRDefault="00EB5D27" w:rsidP="00491F8F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 xml:space="preserve">Жителей городского округа информировали путем проведения общих собраний, раздачи информационных листовок, публикации информации на официальном сайте администрации </w:t>
            </w:r>
            <w:proofErr w:type="spellStart"/>
            <w:r w:rsidRPr="003A1D9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B5D27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 w:rsidP="00952FC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 жителей городского округа о преимуществе раздельного сбора мусора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Pr="003A1D9A" w:rsidRDefault="00EB5D27" w:rsidP="00491F8F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Проводились обучающие семинары о преимуществе раздельного сбора мусора.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B5D27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D27" w:rsidRDefault="00EB5D27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18508A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Pr="003A1D9A" w:rsidRDefault="0018508A" w:rsidP="00491F8F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 xml:space="preserve">В 2020 году выполнено благоустройство двух </w:t>
            </w:r>
            <w:r w:rsidRPr="003A1D9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(пруд с</w:t>
            </w:r>
            <w:proofErr w:type="gramStart"/>
            <w:r w:rsidRPr="003A1D9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A1D9A">
              <w:rPr>
                <w:rFonts w:ascii="Times New Roman" w:hAnsi="Times New Roman"/>
                <w:sz w:val="24"/>
                <w:szCs w:val="24"/>
              </w:rPr>
              <w:t>оловчино и универсальная спортивная площадка г. Грайворон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строительству, транспорту,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ЖКХ и ТЭК</w:t>
            </w:r>
          </w:p>
          <w:p w:rsidR="0018508A" w:rsidRDefault="0018508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8508A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Pr="003A1D9A" w:rsidRDefault="0018508A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В 2020 году не проводилось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8A" w:rsidRDefault="00185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18508A" w:rsidRDefault="00185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0B56B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в городском округе,                     на территории которого реализуются проекты                             по созданию комфортной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3A1D9A" w:rsidRDefault="007A3AAF" w:rsidP="00491F8F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 xml:space="preserve">Публикации на официальном сайте администрации </w:t>
            </w:r>
            <w:proofErr w:type="spellStart"/>
            <w:r w:rsidRPr="003A1D9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городского округа, в социальных сетях, в газете «Родной край».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                                                    и своевременностью размещения данных органами местного самоуправления информации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3A1D9A" w:rsidRDefault="007A3AAF" w:rsidP="00491F8F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Контроль обеспечен за полнотой и своевременностью размещения данных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155848" w:rsidP="0015584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отбору управляющих организаций для управления многоквартирными домами был проведен до 2020 года.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3B5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совета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округа </w:t>
            </w:r>
            <w:r w:rsidR="007F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13 февраля 2020 года №290 «О стоимости услуг, предоставляемых согласно гарантированного перечня услуг по погребению,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округа», Решение муниципального совета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24 октября 2019 года №249 «Об утверждении Порядка организации ритуальных услуг и содержания мест захоронения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округа»,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февраля 2020 года №79 «О специализированной службе по вопросам похоронного деля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740D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F3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spellStart"/>
            <w:r w:rsidRPr="005F3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5F3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 находится 43 гражданских захоронений (кладбищ). Управлением муниципальной собственности и земельных ресурсов администрации округа проведены работы по постановке на кадастровый учет 42 земельных участков для </w:t>
            </w:r>
            <w:r w:rsidRPr="005F3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размещения  гражданских захоронений (кладбищ). По двум кладбищам, расположенным на землях сельскохозяйственного назначения вблизи п. Доброполье, вблизи п. </w:t>
            </w:r>
            <w:proofErr w:type="gramStart"/>
            <w:r w:rsidRPr="005F3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Совхозный</w:t>
            </w:r>
            <w:proofErr w:type="gramEnd"/>
            <w:r w:rsidRPr="005F3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ведутся работы по переводу земель из одной категории в другую. Данные мероприятия будут выполнены до конца 2021 года.</w:t>
            </w:r>
            <w:bookmarkEnd w:id="0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EC1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организаций сформирован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A3AAF" w:rsidRDefault="007A3AAF" w:rsidP="00E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AAF" w:rsidRPr="00D12361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AAF" w:rsidRPr="00D12361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AF" w:rsidTr="00DC401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1E41CD" w:rsidRDefault="007A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Топливно-энергетический комплекс</w:t>
            </w:r>
          </w:p>
        </w:tc>
      </w:tr>
      <w:tr w:rsidR="007A3AAF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546C91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546C91" w:rsidRDefault="007A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уровне тарифов                             на электрическую энергию (мощность), установленных на официальном сайте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E6D" w:rsidRDefault="00500E6D" w:rsidP="0050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размещена.</w:t>
            </w:r>
          </w:p>
          <w:p w:rsidR="007A3AAF" w:rsidRPr="00FA12C3" w:rsidRDefault="00500E6D" w:rsidP="0050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8C">
              <w:rPr>
                <w:rFonts w:ascii="Times New Roman" w:hAnsi="Times New Roman"/>
                <w:sz w:val="24"/>
                <w:szCs w:val="24"/>
              </w:rPr>
              <w:t>https://graivoron.ru/media/site_platform_media/2020/7/14/tarifyi-dlya-naseleniya-na-2020-god_2IUyb0R.docx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7A3AAF" w:rsidRDefault="007A3AAF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A3AAF" w:rsidRPr="00FA12C3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A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учета мнения потребителей, задействованных в рамках общественного совета                                                         при Комиссии по регулированию цен и тарифов в Белгородской области, при принятии решения об установлении тарифов на товары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услуги субъектов естественных монополий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986FEC" w:rsidRDefault="007A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2020 года проведено анкетирование потребителей по вопросам удовлетворения ценовой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политикой на товары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услуги субъектов естественных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монополий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7A3AAF" w:rsidRDefault="007A3AAF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A3AAF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Pr="006D2198" w:rsidRDefault="007A3A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F" w:rsidRDefault="007A3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64">
              <w:rPr>
                <w:rFonts w:ascii="Times New Roman" w:hAnsi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по мере поступления и необходимости решения вопросов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организаций, предоставляющих услуги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организаций, осуществляющих деятельность на авто- и газозаправочных станциях городского округа  проводится 1 раз в год по состоянию на 1 января. </w:t>
            </w:r>
          </w:p>
          <w:p w:rsidR="00272E23" w:rsidRDefault="00272E23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перечня автозаправочных станций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Дислокация автозаправочных станций по состоянию на 1.01.2020 года размещена </w:t>
            </w:r>
            <w:r w:rsidR="004E58C3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/>
                <w:sz w:val="24"/>
                <w:szCs w:val="24"/>
              </w:rPr>
              <w:t>на сайте администрации городского округа в разделе «Защита прав потребителей»</w:t>
            </w:r>
          </w:p>
          <w:p w:rsidR="00272E23" w:rsidRDefault="00272E23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6B5A">
              <w:rPr>
                <w:rFonts w:ascii="Times New Roman" w:hAnsi="Times New Roman"/>
                <w:sz w:val="24"/>
                <w:szCs w:val="24"/>
              </w:rPr>
              <w:t>http://www.graivoron.ru/deyatelnost/zashita-prav-potrebitelej/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CF614F" w:rsidRDefault="00CF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0499A" w:rsidTr="00491F8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99A" w:rsidRPr="00491F8F" w:rsidRDefault="00491F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F8F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99A" w:rsidRPr="00F0499A" w:rsidRDefault="00F0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9A">
              <w:rPr>
                <w:rFonts w:ascii="Times New Roman" w:hAnsi="Times New Roman"/>
                <w:b/>
                <w:sz w:val="24"/>
                <w:szCs w:val="24"/>
              </w:rPr>
              <w:t>Рынок газомоторного топлива</w:t>
            </w:r>
          </w:p>
        </w:tc>
      </w:tr>
      <w:tr w:rsidR="00F0499A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99A" w:rsidRDefault="00385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99A" w:rsidRDefault="00F47260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работы по переоборудованию муниципального транспорта на использование природного газа (метана) в качестве газомоторного топлива в соответствии с планом мероприятий (дорожной картой)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«Развитие рынка газомоторного топлива в Белгородской области на 2019-2021 годы»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99A" w:rsidRDefault="008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6A05" w:rsidRDefault="00B96A05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продолжается реализация проекта по переоборудованию муниципального транспорта на использование природного газа (метана) в качестве газомоторного топлива</w:t>
            </w:r>
            <w:r w:rsidR="009E10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99A" w:rsidRDefault="00440AC5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переоборудовано на использование метана 22 единицы муниципального транспорта,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12 – легковых машин, 7 автомобилей ГАЗ, 3 автомобиля ПАЗ. На переоборудование выделено 1812 тыс. рублей. Частного автотранспорта в 2020 году переоборудовано 25 единиц.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молочная компания» переоборудовала 6 автомобилей, газовая служба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Грайворона – 2 автомобиля,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Грайворон-теплоэнерго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- 1 автомобиль.</w:t>
            </w:r>
          </w:p>
          <w:p w:rsidR="009E10D2" w:rsidRDefault="009E10D2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Поэтапный график переоборудования транспортных средств по срокам синхронизируется со сроками ввода в эксплуатацию соответствующей газозаправочной инфраструктуры.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99A" w:rsidRDefault="003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  <w:p w:rsidR="00CF614F" w:rsidRDefault="00CF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15ADA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DA" w:rsidRDefault="003852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DA" w:rsidRDefault="00A45E66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финансовой, информационно-методической поддержки организациям-инвесторам АГНКС, пунктов по техническому обслуживанию и переоборудованию 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DA" w:rsidRDefault="00A4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DA" w:rsidRDefault="007B37E9" w:rsidP="0049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осуществляет деятельность по продаже природного газа (метана) ООО «Метановая региональная компания». </w:t>
            </w:r>
            <w:r w:rsidR="005A7056">
              <w:rPr>
                <w:rFonts w:ascii="Times New Roman" w:hAnsi="Times New Roman"/>
                <w:sz w:val="24"/>
                <w:szCs w:val="24"/>
              </w:rPr>
              <w:t xml:space="preserve">Осуществляют деятельность 30 станций технического обслуживания автомобилей. </w:t>
            </w:r>
            <w:r>
              <w:rPr>
                <w:rFonts w:ascii="Times New Roman" w:hAnsi="Times New Roman"/>
                <w:sz w:val="24"/>
                <w:szCs w:val="24"/>
              </w:rPr>
              <w:t>О мерах финансовой поддержки, кредитных продуктах банков информация предоставлялась</w:t>
            </w:r>
            <w:r w:rsidR="005A7056">
              <w:rPr>
                <w:rFonts w:ascii="Times New Roman" w:hAnsi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ADA" w:rsidRDefault="003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CF614F" w:rsidRDefault="00CF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Транспортно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272E23" w:rsidRDefault="00272E23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9431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муниципальных контрактов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                                         муниципальных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564FE9" w:rsidRDefault="00272E23" w:rsidP="00491F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Заключён муниципальный </w:t>
            </w:r>
            <w:r w:rsidRPr="0056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 от 17 ноября 2020г. </w:t>
            </w:r>
          </w:p>
          <w:p w:rsidR="00272E23" w:rsidRPr="00564FE9" w:rsidRDefault="00272E23" w:rsidP="00491F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9">
              <w:rPr>
                <w:rFonts w:ascii="Times New Roman" w:hAnsi="Times New Roman" w:cs="Times New Roman"/>
                <w:sz w:val="24"/>
                <w:szCs w:val="24"/>
              </w:rPr>
              <w:t>N0126600001520000199/2020 на выполнение работ, связанных с осуществлением регулярных перевозок пассажиров и багажа автобусом по регулируемым тарифам</w:t>
            </w:r>
          </w:p>
          <w:p w:rsidR="00272E23" w:rsidRPr="00564FE9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строительству, транспорту, ЖКХ и ТЭК</w:t>
            </w:r>
          </w:p>
          <w:p w:rsidR="00272E23" w:rsidRDefault="00272E2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931C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администрацией городского округа                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муниципальным маршрутам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564FE9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FE9">
              <w:rPr>
                <w:rFonts w:ascii="Times New Roman" w:hAnsi="Times New Roman"/>
                <w:sz w:val="24"/>
                <w:szCs w:val="24"/>
              </w:rPr>
              <w:t xml:space="preserve">Постоянное взаимодействие администрации </w:t>
            </w:r>
            <w:proofErr w:type="spellStart"/>
            <w:r w:rsidRPr="00564FE9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564FE9">
              <w:rPr>
                <w:rFonts w:ascii="Times New Roman" w:hAnsi="Times New Roman"/>
                <w:sz w:val="24"/>
                <w:szCs w:val="24"/>
              </w:rPr>
              <w:t xml:space="preserve"> городского округа с перевозчиком ООО «</w:t>
            </w:r>
            <w:proofErr w:type="spellStart"/>
            <w:r w:rsidRPr="00564FE9">
              <w:rPr>
                <w:rFonts w:ascii="Times New Roman" w:hAnsi="Times New Roman"/>
                <w:sz w:val="24"/>
                <w:szCs w:val="24"/>
              </w:rPr>
              <w:t>Грайворонское</w:t>
            </w:r>
            <w:proofErr w:type="spellEnd"/>
            <w:r w:rsidRPr="00564FE9">
              <w:rPr>
                <w:rFonts w:ascii="Times New Roman" w:hAnsi="Times New Roman"/>
                <w:sz w:val="24"/>
                <w:szCs w:val="24"/>
              </w:rPr>
              <w:t xml:space="preserve"> ТП» по вопросам изменения регулируемых тарифов по муниципальным маршрутам регулярных перевозок, установлении и изменении муниципальных маршрутов с учётом интересов потребителей.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изменении вида регулярных перевозок;</w:t>
            </w:r>
          </w:p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564FE9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FE9">
              <w:rPr>
                <w:rFonts w:ascii="Times New Roman" w:hAnsi="Times New Roman"/>
                <w:sz w:val="24"/>
                <w:szCs w:val="24"/>
              </w:rPr>
              <w:t>Изменение вида регулярных перевозок не планируется. Муниципальные маршруты регулярных перевозок не отменялись.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утверждение и размещение                                         на официальных сайтах администраций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564FE9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FE9">
              <w:rPr>
                <w:rFonts w:ascii="Times New Roman" w:hAnsi="Times New Roman"/>
                <w:sz w:val="24"/>
                <w:szCs w:val="24"/>
              </w:rPr>
              <w:t xml:space="preserve">Нормативные и правовые акты разработаны, утверждены и </w:t>
            </w:r>
            <w:r w:rsidRPr="00564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размещены на официальном сайте администрации </w:t>
            </w:r>
            <w:proofErr w:type="spellStart"/>
            <w:r w:rsidRPr="00564FE9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564FE9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7C2FC3">
              <w:rPr>
                <w:rFonts w:ascii="Times New Roman" w:hAnsi="Times New Roman"/>
                <w:sz w:val="24"/>
                <w:szCs w:val="24"/>
                <w:lang w:val="en-US"/>
              </w:rPr>
              <w:t>graivoron</w:t>
            </w:r>
            <w:proofErr w:type="spellEnd"/>
            <w:r w:rsidRPr="007C2F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F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строительству,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ЖКХ и ТЭК</w:t>
            </w:r>
          </w:p>
          <w:p w:rsidR="00272E23" w:rsidRDefault="00272E2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E23" w:rsidRPr="004F1F62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F62">
              <w:rPr>
                <w:rFonts w:ascii="Times New Roman" w:hAnsi="Times New Roman"/>
                <w:sz w:val="24"/>
                <w:szCs w:val="24"/>
              </w:rPr>
              <w:t xml:space="preserve">Реестр муниципальных маршрутов регулярных перевозок размещён на официальном сайте администрации </w:t>
            </w:r>
            <w:proofErr w:type="spellStart"/>
            <w:r w:rsidRPr="004F1F62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4F1F6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7C2FC3">
              <w:rPr>
                <w:rFonts w:ascii="Times New Roman" w:hAnsi="Times New Roman"/>
                <w:sz w:val="24"/>
                <w:szCs w:val="24"/>
                <w:lang w:val="en-US"/>
              </w:rPr>
              <w:t>graivoron</w:t>
            </w:r>
            <w:proofErr w:type="spellEnd"/>
            <w:r w:rsidRPr="007C2F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F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4F1F62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F62">
              <w:rPr>
                <w:rFonts w:ascii="Times New Roman" w:hAnsi="Times New Roman"/>
                <w:sz w:val="24"/>
                <w:szCs w:val="24"/>
              </w:rPr>
              <w:t>Мониторинг пассажиропотока ведётся постоянно.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E23" w:rsidRDefault="00272E2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мероприятий                                                  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E23" w:rsidRDefault="00272E23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6C3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по выявлению на территории </w:t>
            </w:r>
            <w:proofErr w:type="spellStart"/>
            <w:r w:rsidRPr="00F526C3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F526C3"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перевозчиков, нарушающих требования законодательства планируется провести </w:t>
            </w:r>
            <w:r>
              <w:rPr>
                <w:rFonts w:ascii="Times New Roman" w:hAnsi="Times New Roman"/>
                <w:sz w:val="24"/>
                <w:szCs w:val="24"/>
              </w:rPr>
              <w:t>до ноября 2021</w:t>
            </w:r>
            <w:r w:rsidRPr="00F526C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0D6AD7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FC3EAB" w:rsidRDefault="00272E23" w:rsidP="0001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287794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94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Белгородской области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2019-2021</w:t>
            </w:r>
          </w:p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находятся у Управления автомобильных дорог  общего пользования и транспорта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AE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287794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перечня организаций, оказывающих услуги по перевозке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пассажиров и багажа легковым такси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находятся у Управления автомобильных дорог  общего пользования и транспорта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 w:rsidP="0046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72E23" w:rsidRDefault="00272E23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72E2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Pr="00246B75" w:rsidRDefault="00272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23" w:rsidRDefault="00272E2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46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 w:rsidP="008A7D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предприятий, оказывающих </w:t>
            </w:r>
            <w:r w:rsidRPr="008A7DC4">
              <w:rPr>
                <w:rFonts w:ascii="Times New Roman" w:hAnsi="Times New Roman"/>
                <w:sz w:val="24"/>
                <w:szCs w:val="24"/>
              </w:rPr>
              <w:t xml:space="preserve">услуги по ремонту автотранспортных средств,                             и размещение его на сайте органов местного самоуправления администрации </w:t>
            </w:r>
            <w:proofErr w:type="spellStart"/>
            <w:r w:rsidRPr="008A7DC4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A7DC4"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Предприятия, оказывающие услуги по ремонту автотранспортных средств, включены в дислокацию предприятий бытового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состоянию на 1 января 2020 года, сформированной в январе 2020 года. Дислокация размещена на сайте администрации городского округа в разделе «Защита прав потребителей»  http://www.graivoron.ru/deyatelnost/zashita-prav-potrebitelej/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6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 w:rsidP="007938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установлении предельного размера платы за проведение технического осмотра транспортных средств на 2020 год размещена на официальном сайте администрации городского округа в разделе «Защита прав потребителей»</w:t>
            </w:r>
          </w:p>
          <w:p w:rsidR="00D23465" w:rsidRDefault="00D2346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(http://www.graivoron.ru/media/site_platform_media/2020/2/10/o-plate-za-tehnicheskij-osmotr-na-2020-goddoc.pdf)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Default="00D23465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23465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65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Pr="006B1410" w:rsidRDefault="00D2346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6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Pr="006B1410" w:rsidRDefault="00D23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65" w:rsidRPr="006B1410" w:rsidRDefault="00D23465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BA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Default="000F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Pr="006B1410" w:rsidRDefault="000F5BA5" w:rsidP="006B1410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Оказание содействия операторам связи                                                 в предоставлении возможности размещения оборудования связи для предоставления услуг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lastRenderedPageBreak/>
              <w:t xml:space="preserve">населению в помещениях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Pr="006B1410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lastRenderedPageBreak/>
              <w:t>2019</w:t>
            </w:r>
            <w:r w:rsidRPr="006B1410">
              <w:rPr>
                <w:b/>
                <w:sz w:val="24"/>
                <w:szCs w:val="24"/>
              </w:rPr>
              <w:t xml:space="preserve"> –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rFonts w:eastAsiaTheme="minorEastAsia"/>
                <w:b w:val="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Содействие оказывается. На территории г. Грайворон, </w:t>
            </w:r>
            <w:proofErr w:type="gramStart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Мокрая</w:t>
            </w:r>
            <w:proofErr w:type="gramEnd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Орловка и с. Головчино в </w:t>
            </w:r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2020 г. были размещены новые вышки сотовой связи.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Pr="006B1410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0F5BA5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0F5BA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Default="000F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Pr="00603AD9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03AD9">
              <w:rPr>
                <w:rStyle w:val="100"/>
                <w:b w:val="0"/>
                <w:spacing w:val="2"/>
                <w:sz w:val="24"/>
                <w:szCs w:val="24"/>
              </w:rPr>
              <w:t>Рассмотрение обращений граждан по вопросам отсутствия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Pr="009E1B1C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2019</w:t>
            </w:r>
            <w:r w:rsidRPr="009E1B1C">
              <w:rPr>
                <w:b/>
                <w:sz w:val="24"/>
                <w:szCs w:val="24"/>
              </w:rPr>
              <w:t xml:space="preserve"> – </w:t>
            </w: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Pr="000F5BA5" w:rsidRDefault="000F5BA5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rFonts w:eastAsiaTheme="minorEastAsia"/>
                <w:b w:val="0"/>
                <w:spacing w:val="2"/>
                <w:sz w:val="24"/>
                <w:szCs w:val="24"/>
              </w:rPr>
            </w:pPr>
            <w:r w:rsidRPr="000F5BA5">
              <w:rPr>
                <w:rStyle w:val="100"/>
                <w:b w:val="0"/>
                <w:spacing w:val="2"/>
                <w:sz w:val="24"/>
                <w:szCs w:val="24"/>
              </w:rPr>
              <w:t>Обращения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 граждан </w:t>
            </w:r>
            <w:r w:rsidRPr="000F5BA5">
              <w:rPr>
                <w:rStyle w:val="100"/>
                <w:b w:val="0"/>
                <w:spacing w:val="2"/>
                <w:sz w:val="24"/>
                <w:szCs w:val="24"/>
              </w:rPr>
              <w:t xml:space="preserve"> рассматривают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ся</w:t>
            </w:r>
            <w:r w:rsidRPr="000F5BA5">
              <w:rPr>
                <w:rStyle w:val="100"/>
                <w:b w:val="0"/>
                <w:spacing w:val="2"/>
                <w:sz w:val="24"/>
                <w:szCs w:val="24"/>
              </w:rPr>
              <w:t xml:space="preserve">. В департамент цифрового развития </w:t>
            </w:r>
            <w:r w:rsidR="008E1233">
              <w:rPr>
                <w:rStyle w:val="100"/>
                <w:b w:val="0"/>
                <w:spacing w:val="2"/>
                <w:sz w:val="24"/>
                <w:szCs w:val="24"/>
              </w:rPr>
              <w:t xml:space="preserve">области </w:t>
            </w:r>
            <w:r w:rsidRPr="000F5BA5">
              <w:rPr>
                <w:rStyle w:val="100"/>
                <w:b w:val="0"/>
                <w:spacing w:val="2"/>
                <w:sz w:val="24"/>
                <w:szCs w:val="24"/>
              </w:rPr>
              <w:t>направляются предложения о необходимости строительства вышек сотовой связи.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BA5" w:rsidRPr="006B1410" w:rsidRDefault="000F5BA5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0F5BA5" w:rsidRDefault="000F5BA5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0F5BA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Default="000F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F5BA5" w:rsidRDefault="000F5BA5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осуществляется.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5BA5" w:rsidRPr="006B1410" w:rsidRDefault="000F5BA5" w:rsidP="00C519C0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0F5BA5" w:rsidRDefault="000F5BA5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B1410">
              <w:rPr>
                <w:rStyle w:val="10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0F5BA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Default="000F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F5BA5" w:rsidRDefault="00BD7AE5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Содействие</w:t>
            </w:r>
            <w:r w:rsidR="000F5BA5">
              <w:rPr>
                <w:b w:val="0"/>
                <w:color w:val="auto"/>
                <w:sz w:val="24"/>
                <w:szCs w:val="24"/>
              </w:rPr>
              <w:t xml:space="preserve"> оказывается.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5BA5" w:rsidRDefault="000F5BA5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0F5BA5" w:rsidRDefault="000F5BA5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0F5BA5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Default="000F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Ведение реестра населенных пунктов, обеспеченных магистральными каналами связи                                  на основе волоконно-оптических линий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Реестр ведется.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0F5BA5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0F5BA5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Pr="00DF29CA" w:rsidRDefault="000F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29CA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BA5" w:rsidRPr="00DF29CA" w:rsidRDefault="000F5BA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</w:p>
        </w:tc>
      </w:tr>
      <w:tr w:rsidR="006B628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6286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ИТ-классы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6286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2019-2021</w:t>
            </w:r>
          </w:p>
          <w:p w:rsidR="006B6286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6286" w:rsidRDefault="006B6286" w:rsidP="00491F8F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z w:val="24"/>
                <w:szCs w:val="24"/>
              </w:rPr>
              <w:t xml:space="preserve">В 3 школах городского округа созданы </w:t>
            </w:r>
            <w:proofErr w:type="gramStart"/>
            <w:r>
              <w:rPr>
                <w:rStyle w:val="100"/>
                <w:color w:val="auto"/>
                <w:sz w:val="24"/>
                <w:szCs w:val="24"/>
              </w:rPr>
              <w:t>ИТ</w:t>
            </w:r>
            <w:proofErr w:type="gramEnd"/>
            <w:r w:rsidR="00DD5DF2">
              <w:rPr>
                <w:rStyle w:val="10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00"/>
                <w:color w:val="auto"/>
                <w:sz w:val="24"/>
                <w:szCs w:val="24"/>
              </w:rPr>
              <w:t xml:space="preserve">- классы, приспособлено 11 кабинетов  для изучения предметов «Информатика» и «Математика» с укомплектованием персональными </w:t>
            </w:r>
            <w:r>
              <w:rPr>
                <w:rStyle w:val="100"/>
                <w:color w:val="auto"/>
                <w:sz w:val="24"/>
                <w:szCs w:val="24"/>
              </w:rPr>
              <w:lastRenderedPageBreak/>
              <w:t>компьютерами</w:t>
            </w:r>
          </w:p>
          <w:p w:rsidR="006B6286" w:rsidRPr="005C023E" w:rsidRDefault="006B6286" w:rsidP="00491F8F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Управление образования</w:t>
            </w:r>
          </w:p>
          <w:p w:rsidR="006B6286" w:rsidRPr="006766CC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</w:t>
            </w:r>
            <w:r w:rsidRPr="006766CC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6766CC"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 w:rsidRPr="006766CC"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6B628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6286" w:rsidRPr="005C023E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органов местного самоуправления перечня организаций частной формы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собственности, оказывающих IT- услуги на территории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6286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6286" w:rsidRDefault="006B6286" w:rsidP="00491F8F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Информация размещена на сайте администрации городского округа в разделе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6B628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286" w:rsidRDefault="006B6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8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286" w:rsidRDefault="006B6286" w:rsidP="00A215E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5CC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проектов «Новая жизнь»,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жизнь-районы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 w:rsidP="00491F8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BD757E">
              <w:rPr>
                <w:rFonts w:ascii="Times New Roman" w:hAnsi="Times New Roman" w:cs="Times New Roman"/>
                <w:sz w:val="24"/>
                <w:szCs w:val="24"/>
              </w:rPr>
              <w:t>данные проекты не реализую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 w:rsidP="008150D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E5CC8" w:rsidRPr="008150D6" w:rsidRDefault="003E5CC8" w:rsidP="008150D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E5CC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                                   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Pr="00E45E67" w:rsidRDefault="003E5CC8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E67">
              <w:rPr>
                <w:rFonts w:ascii="Times New Roman" w:hAnsi="Times New Roman"/>
                <w:sz w:val="24"/>
                <w:szCs w:val="24"/>
              </w:rPr>
              <w:t xml:space="preserve">Реализовано. Получить услуги в градостроительной сфере                                     в электронном виде можно через региональный портал государственных и муниципальных услуг Белгородской области </w:t>
            </w:r>
            <w:hyperlink r:id="rId6" w:history="1">
              <w:r w:rsidRPr="00E45E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https://gosuslugi31.ru/</w:t>
              </w:r>
            </w:hyperlink>
            <w:r w:rsidRPr="00E45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 w:rsidP="00B2606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E5CC8" w:rsidRDefault="003E5CC8" w:rsidP="00B2606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E5CC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внедрению Стандарта качества жилья на территории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Pr="001A4947" w:rsidRDefault="003E5CC8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 выдаче разрешения на строительство ведется проверка проекта жилого дома на соответствие Стандарту качества жилья на территории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 w:rsidP="00C178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E5CC8" w:rsidRDefault="003E5CC8" w:rsidP="00C178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E5CC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на лучшую организацию в сфере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 w:rsidP="003776EC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3E5CC8" w:rsidRDefault="003E5CC8" w:rsidP="003776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3E5CC8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CC8" w:rsidRDefault="003E5CC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1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Pr="001A4947" w:rsidRDefault="00120D16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 возникновении вопроса получения разрешения                                                   на строительство с застройщиком проводится подробная консультация по прохождению процедур для получения разрешения.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 w:rsidP="0041477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120D16" w:rsidRDefault="00120D16" w:rsidP="004147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120D1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16" w:rsidRDefault="00120D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в МФЦ города Грайворона  предоставление услуг в сфере строительства                                 в электронном виде</w:t>
            </w:r>
          </w:p>
          <w:p w:rsidR="00120D16" w:rsidRDefault="00120D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Pr="001A4947" w:rsidRDefault="00120D16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не предоставляются.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 w:rsidP="00563B4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120D16" w:rsidRDefault="00120D16" w:rsidP="00563B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120D1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«Реформа градостроительной деятельности Белгородской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Pr="001A4947" w:rsidRDefault="00120D16" w:rsidP="00D428C1">
            <w:pPr>
              <w:spacing w:after="0" w:line="240" w:lineRule="auto"/>
              <w:ind w:left="-57" w:right="-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Прошло п</w:t>
            </w:r>
            <w:r w:rsidRPr="001A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ерераспределение полномочий в сфере градостроительной деятельности между органами местного самоуправления и органами государственной власти Белгородской области, городской округ перешел на электронное оказание услуг в сфере реализации перераспределенных по</w:t>
            </w:r>
            <w:r w:rsidR="00D42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лномочий, а также при выдаче </w:t>
            </w:r>
            <w:r w:rsidRPr="001A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разрешительной документации.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 w:rsidP="00FB186B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120D16" w:rsidRDefault="00120D16" w:rsidP="00FB186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120D16" w:rsidTr="00137186">
        <w:trPr>
          <w:trHeight w:val="17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Pr="001A4947" w:rsidRDefault="00120D16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Приняли участие в тестировании интернет</w:t>
            </w:r>
            <w:r w:rsidR="00D428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A4947">
              <w:rPr>
                <w:rFonts w:ascii="Times New Roman" w:hAnsi="Times New Roman"/>
                <w:sz w:val="24"/>
                <w:szCs w:val="24"/>
              </w:rPr>
              <w:t xml:space="preserve"> сервиса  Региональной информационной системы обеспечения градостроительной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 w:rsidP="00671B7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120D16" w:rsidRDefault="00120D16" w:rsidP="00671B76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120D16" w:rsidRDefault="00120D16" w:rsidP="00671B76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120D16" w:rsidRDefault="00120D16" w:rsidP="00671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6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Pr="002E7993" w:rsidRDefault="00120D16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D16" w:rsidRDefault="00120D16" w:rsidP="00DC401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39048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по внесению информации об отпускных ценах на строительные материалы, изделия и конструкции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Pr="00390481" w:rsidRDefault="0039048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8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390481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городского округа осуществляет деятельность предприятие по производству кирпич</w:t>
            </w:r>
            <w:proofErr w:type="gramStart"/>
            <w:r w:rsidRPr="0039048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«Родина». На предприятии налажен сбыт продукции и не нуждается в рекламе.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048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строительной индустрии округа по внесению информации о показателях деятельности предприятия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8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390481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городского округа осуществляет деятельность предприятие по производству кирпич</w:t>
            </w:r>
            <w:proofErr w:type="gramStart"/>
            <w:r w:rsidRPr="0039048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«Родина», все экономические показатели которого учитываются в обобщенных данных </w:t>
            </w:r>
            <w:r w:rsidR="008A356C">
              <w:rPr>
                <w:rFonts w:ascii="Times New Roman" w:hAnsi="Times New Roman"/>
                <w:sz w:val="24"/>
                <w:szCs w:val="24"/>
              </w:rPr>
              <w:t xml:space="preserve">по итогам социально-экономического развития городского округа </w:t>
            </w:r>
            <w:r w:rsidRPr="00390481">
              <w:rPr>
                <w:rFonts w:ascii="Times New Roman" w:hAnsi="Times New Roman"/>
                <w:sz w:val="24"/>
                <w:szCs w:val="24"/>
              </w:rPr>
              <w:t xml:space="preserve">и размещены на сайте администрации городского округа </w:t>
            </w:r>
          </w:p>
          <w:p w:rsidR="008A356C" w:rsidRPr="00390481" w:rsidRDefault="008A35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048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                                      в соответствии с законодательством субъекта                           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Pr="00390481" w:rsidRDefault="00390481">
            <w:pPr>
              <w:pStyle w:val="ConsPlusNormal0"/>
              <w:tabs>
                <w:tab w:val="left" w:pos="216"/>
              </w:tabs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1">
              <w:rPr>
                <w:rFonts w:ascii="Times New Roman" w:hAnsi="Times New Roman" w:cs="Times New Roman"/>
                <w:sz w:val="24"/>
                <w:szCs w:val="24"/>
              </w:rPr>
              <w:t>Предприятием ООО «Родина» в 2018 году были проведены работы по реконструкции прессового отдела кольцевой печ</w:t>
            </w:r>
            <w:r w:rsidR="005F63C0">
              <w:rPr>
                <w:rFonts w:ascii="Times New Roman" w:hAnsi="Times New Roman" w:cs="Times New Roman"/>
                <w:sz w:val="24"/>
                <w:szCs w:val="24"/>
              </w:rPr>
              <w:t xml:space="preserve">и.  Инвестиции составили 10 </w:t>
            </w:r>
            <w:proofErr w:type="spellStart"/>
            <w:proofErr w:type="gramStart"/>
            <w:r w:rsidR="005F63C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="005F63C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8 </w:t>
            </w:r>
            <w:proofErr w:type="spellStart"/>
            <w:r w:rsidR="005F63C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39048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F63C0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собственные средства и 2 млн</w:t>
            </w:r>
            <w:r w:rsidRPr="00390481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заемные средства. В настоящее время предприятие не заинтересовано в инвестиционной поддержке.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5F5" w:rsidRDefault="00F445F5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Pr="00462DEC" w:rsidRDefault="00390481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EC">
              <w:rPr>
                <w:rFonts w:ascii="Times New Roman" w:hAnsi="Times New Roman" w:cs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39048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закупок на выполнение кадастровых                                                    и землеустроительных работ с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равных условий для обеспечения конкуренции между участниками закупок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 w:rsidP="00491F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закупки на выполнение кадастровых                                                    и землеустроительных работ проводятся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Pr="00710A25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048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Pr="00DE2380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2380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Упрощение процедур согласования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                               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Pr="00D6760F" w:rsidRDefault="00390481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на кадастровом плане территорий осуществляется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или земельных участков на кадастровом плане территории», утвержденном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10.04.2019 года № 215.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Кроме того, в целях сокращения сроков предоставления вышеуказанной муниципальной услуги с апреля 2020 года по декабрь 2020 года был реализован  бережливый проект  «Оптимизация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«Прием и выдача документов об утверждении схемы расположения земельного участка на кадастровом плане или на кадастровой карте». Соответственно сокращены сроки протекания процесса с 14 470 мин на 5 905 мин.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81" w:rsidRDefault="003904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 w:rsidP="006F27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на территории городского округа  комплексных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AD4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0F">
              <w:rPr>
                <w:rFonts w:ascii="Times New Roman" w:hAnsi="Times New Roman"/>
                <w:sz w:val="24"/>
                <w:szCs w:val="24"/>
              </w:rPr>
              <w:t xml:space="preserve">а территории округа </w:t>
            </w:r>
            <w:r w:rsidR="00EF3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6760F">
              <w:rPr>
                <w:rFonts w:ascii="Times New Roman" w:hAnsi="Times New Roman"/>
                <w:sz w:val="24"/>
                <w:szCs w:val="24"/>
              </w:rPr>
              <w:t xml:space="preserve"> году комплексные кадастровые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</w:t>
            </w:r>
            <w:r w:rsidRPr="00D6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кадастровых кварталов 31:13:1502004, 31:13:1502005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Новостроевка-Вторая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31:13:1602001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Безымено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31:13:1302001, 31:13:1302003 г. Грайворона, запланированы на 2021 год -  квартала  31:13:1502003, 31:13:1502002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Новостроевка-Вторая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Первая, на 2022 году - кварталов 31:13:1502001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Новостроевка-Первая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31:13:1002004 с. Доброе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круга постоянно проводится работа с правообладателями объектов недвижимости по поводу установления границ земельных участков и объектов капитального строительства путём дворового обхода специалистами сельских территориальных администраций.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 w:rsidP="000D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организована работа по размещению в средствах массовой информации публикаций по вопросам проектов межевания и  кадастровой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tabs>
                <w:tab w:val="left" w:pos="426"/>
              </w:tabs>
              <w:spacing w:after="0" w:line="240" w:lineRule="auto"/>
              <w:ind w:left="-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 рамках реализации областного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 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и земельных ресурсов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проведен анализ объектов недвижимого имущества, учтенных в ЕГРН, без границ. По результатам анализа составлены перечни объектов недвижимого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которым в 2020-2022 годах будут проведены комплексные кадастровые работы.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малых форм хозяйствования                                         и 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проводится работа с МФХ по участию в обеспечении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06C" w:rsidRPr="00B60294" w:rsidRDefault="00DA406C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муниципальных заказов                                         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BE" w:rsidRDefault="00E261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 w:rsidP="001033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развитию системы сельскохозяйственной потребительской кооперации на территории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 w:rsidP="00491F8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Реализуется проект «Создание системы сельскохозяйственной кооперации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округа». Согласно плану управления проектом создано 7 кооперативов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06C" w:rsidRDefault="00DA406C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DA406C" w:rsidRDefault="00DA406C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06C" w:rsidRDefault="00DA406C" w:rsidP="0049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4 схода граждан.</w:t>
            </w:r>
          </w:p>
          <w:p w:rsidR="00DA406C" w:rsidRDefault="00DA406C" w:rsidP="0049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сотрудниками Департамента АПК и ВОС, сотрудниками ИКЦ. Проведено: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«</w:t>
            </w:r>
            <w:r w:rsidRPr="00F32CC7">
              <w:rPr>
                <w:rFonts w:ascii="Times New Roman" w:hAnsi="Times New Roman"/>
                <w:sz w:val="24"/>
                <w:szCs w:val="24"/>
              </w:rPr>
              <w:t>ОРГАНИЗАЦИЯ УЧЕТНОЙ ПОЛИТИКИ И ВЕДЕНИЕ БУХГАЛТЕРСКОГО УЧЕТА В СЕЛЬСКОХОЗЯЙСТВЕННЫХ КООПЕРАТИВАХ</w:t>
            </w:r>
            <w:r>
              <w:rPr>
                <w:rFonts w:ascii="Times New Roman" w:hAnsi="Times New Roman"/>
                <w:sz w:val="24"/>
                <w:szCs w:val="24"/>
              </w:rPr>
              <w:t>»- 8-11 ноября, «</w:t>
            </w:r>
            <w:r w:rsidRPr="00F32CC7">
              <w:rPr>
                <w:rFonts w:ascii="Times New Roman" w:hAnsi="Times New Roman"/>
                <w:sz w:val="24"/>
                <w:szCs w:val="24"/>
              </w:rPr>
              <w:t>Повышение производительности труда субъектами МСП. Бережливое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» 12-22 декабря 2020 г.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2200BB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2200BB" w:rsidRDefault="00DA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5B4C40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40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деятельности племенных предприятий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626" w:rsidRDefault="00F95626" w:rsidP="000635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племенных предприятий городского округа проводится путем сбора информации для ежемесячной отчетности по состоянию отрасли животноводства, а также  проводится согласование актов выбраковки и реализации скота.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Совместно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АПК руководители племенных хозяйств (ООО «Молочник», ЗАО «Большевик», ООО «ГМК»  принимали участие в организованных департаментом АПК и ВОС области семинарах, научно – практических конференциях в области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племенной работы 25-29 февраля, 16-19 марта 2020 г. Специалисты управления АПК администрации городского округа  принимали участие в 24 международной научно- производственной конференции на тему «Инновационные решения в аграрной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науке - взгляд в будущее» 27-28 мая 2020 г.</w:t>
            </w:r>
          </w:p>
          <w:p w:rsidR="00DA406C" w:rsidRPr="000635CE" w:rsidRDefault="00DA406C" w:rsidP="000635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CE">
              <w:rPr>
                <w:rFonts w:ascii="Times New Roman" w:hAnsi="Times New Roman"/>
                <w:sz w:val="24"/>
                <w:szCs w:val="24"/>
              </w:rPr>
              <w:t>Совместно со специалистами управления АПК</w:t>
            </w:r>
            <w:proofErr w:type="gramStart"/>
            <w:r w:rsidRPr="000635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35CE">
              <w:rPr>
                <w:rFonts w:ascii="Times New Roman" w:hAnsi="Times New Roman"/>
                <w:sz w:val="24"/>
                <w:szCs w:val="24"/>
              </w:rPr>
              <w:t xml:space="preserve"> руководители племенных хозяйств (ООО «Молочник», ЗАО «Большевик», ООО «ГМК», принимали участие в организованных департаментом АПК и ВОС семинарах в области по развитию </w:t>
            </w:r>
            <w:proofErr w:type="spellStart"/>
            <w:r w:rsidRPr="000635CE"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 w:rsidRPr="000635CE">
              <w:rPr>
                <w:rFonts w:ascii="Times New Roman" w:hAnsi="Times New Roman"/>
                <w:sz w:val="24"/>
                <w:szCs w:val="24"/>
              </w:rPr>
              <w:t xml:space="preserve">- племенной работе 15 октября </w:t>
            </w:r>
            <w:r w:rsidR="00F9562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5B4C40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актуальной информации о доступных мерах поддержки племенных предприятий области и порядке ее получения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06C" w:rsidRPr="000635CE" w:rsidRDefault="00DA406C" w:rsidP="00063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CE"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городского округа в разделе «Агропромышленный комплекс» размещены нормативно-правовые </w:t>
            </w:r>
            <w:r w:rsidRPr="000635CE">
              <w:rPr>
                <w:rFonts w:ascii="Times New Roman" w:hAnsi="Times New Roman"/>
                <w:sz w:val="24"/>
                <w:szCs w:val="24"/>
              </w:rPr>
              <w:lastRenderedPageBreak/>
              <w:t>акты о мерах поддержки племенных предприятий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06C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2200BB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2200BB" w:rsidRDefault="00DA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Pr="006109E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EC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06C" w:rsidRPr="00CF3D05" w:rsidRDefault="00D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05">
              <w:rPr>
                <w:rFonts w:ascii="Times New Roman" w:hAnsi="Times New Roman"/>
                <w:sz w:val="24"/>
                <w:szCs w:val="24"/>
              </w:rPr>
              <w:t>Совместно со специалистами управления АПК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CF3D05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proofErr w:type="gramStart"/>
            <w:r w:rsidRPr="00CF3D05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CF3D05">
              <w:rPr>
                <w:rFonts w:ascii="Times New Roman" w:hAnsi="Times New Roman"/>
                <w:sz w:val="24"/>
                <w:szCs w:val="24"/>
              </w:rPr>
              <w:t xml:space="preserve"> «Белгородские </w:t>
            </w:r>
            <w:proofErr w:type="spellStart"/>
            <w:r w:rsidRPr="00CF3D05">
              <w:rPr>
                <w:rFonts w:ascii="Times New Roman" w:hAnsi="Times New Roman"/>
                <w:sz w:val="24"/>
                <w:szCs w:val="24"/>
              </w:rPr>
              <w:t>свеклосемена</w:t>
            </w:r>
            <w:proofErr w:type="spellEnd"/>
            <w:r w:rsidRPr="00CF3D05">
              <w:rPr>
                <w:rFonts w:ascii="Times New Roman" w:hAnsi="Times New Roman"/>
                <w:sz w:val="24"/>
                <w:szCs w:val="24"/>
              </w:rPr>
              <w:t xml:space="preserve">», принимали участие в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Pr="00CF3D05">
              <w:rPr>
                <w:rFonts w:ascii="Times New Roman" w:hAnsi="Times New Roman"/>
                <w:sz w:val="24"/>
                <w:szCs w:val="24"/>
              </w:rPr>
              <w:t>департаментом АПК и ВОС семинарах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DA406C" w:rsidRDefault="00DA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Иные рынки</w:t>
            </w:r>
          </w:p>
        </w:tc>
      </w:tr>
      <w:tr w:rsidR="00DA406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06C" w:rsidRDefault="00DA406C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BF6B1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Pr="00263A6C" w:rsidRDefault="00BF6B1F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проводятся квартальные обходы с целью выявления незаконных рекламных конструкций.</w:t>
            </w:r>
          </w:p>
          <w:p w:rsidR="00BF6B1F" w:rsidRDefault="00BF6B1F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на территории округа не выявлены незаконные рекламные конструкции.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F6B1F" w:rsidRDefault="00BF6B1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F6B1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перечня нормативных правовых актов, регулирующих сферу наружной рекламы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Pr="00263A6C" w:rsidRDefault="00BF6B1F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ОМС выставлены нормативно-правовые акты, регулирующие сферу наружной рекламы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F6B1F" w:rsidRDefault="00BF6B1F" w:rsidP="00D40D8F">
            <w:pPr>
              <w:pStyle w:val="ConsPlusNormal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F6B1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Pr="00263A6C" w:rsidRDefault="00BF6B1F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заявки на проведение торгов на право установки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 не поступали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BF6B1F" w:rsidRDefault="00BF6B1F" w:rsidP="00D40D8F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F6B1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9.1.4.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 w:rsidP="007F6C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городского округа, не включенных                           в схему размещения рекламных конструкций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Pr="00263A6C" w:rsidRDefault="00BF6B1F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разрешения на установку и эксплуатацию рекламных конструкций заявителю предлагаются места из утвержденной схемы размещения рекламных конструкций на территории городского округа. </w:t>
            </w:r>
          </w:p>
          <w:p w:rsidR="00BF6B1F" w:rsidRDefault="00BF6B1F" w:rsidP="002151B1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 w:rsidR="002151B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F6B1F" w:rsidRDefault="00BF6B1F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F6B1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9.1.5.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Pr="00263A6C" w:rsidRDefault="00BF6B1F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размещения рекламных конструкций городского округа актуализированы</w:t>
            </w:r>
          </w:p>
          <w:p w:rsidR="003804B3" w:rsidRDefault="003804B3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B3" w:rsidRDefault="003804B3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B3" w:rsidRDefault="003804B3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B3" w:rsidRDefault="003804B3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BF6B1F" w:rsidRDefault="00BF6B1F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F6B1F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B1F" w:rsidRDefault="00BF6B1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финансовых услуг</w:t>
            </w:r>
          </w:p>
        </w:tc>
      </w:tr>
      <w:tr w:rsidR="00B15EF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EF3" w:rsidRDefault="00B15EF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:rsidR="00B15EF3" w:rsidRDefault="00B15EF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на получение жителем городского округа социальных выплат  указывается счет для перечисления самим  заявителем по его желанию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B15EF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 w:rsidP="000578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организационно-распорядительных мероприятий, направленных на недопущение направления администрацией городского округа  подведомственным учреждениям указаний                             или рекомендаций о необходимости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самостоятельно выбирают кредитные организации.</w:t>
            </w:r>
          </w:p>
          <w:p w:rsidR="00B15EF3" w:rsidRDefault="00B15EF3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рабочих встреч проводятся разъяснительные работы,  направленные на недопущение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 подведомственным учреждениям указаний о необходимости получения отдельных услуг 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EF3" w:rsidRDefault="00B15EF3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МКУ «Центр бухгалтерского учета и отчетности» </w:t>
            </w:r>
          </w:p>
        </w:tc>
      </w:tr>
    </w:tbl>
    <w:p w:rsidR="00FA12C3" w:rsidRDefault="00FA12C3"/>
    <w:p w:rsidR="003E76B4" w:rsidRDefault="003E76B4"/>
    <w:p w:rsidR="003E76B4" w:rsidRDefault="003E76B4"/>
    <w:p w:rsidR="003E76B4" w:rsidRDefault="003E76B4"/>
    <w:p w:rsidR="003E76B4" w:rsidRDefault="003E76B4"/>
    <w:p w:rsidR="00E261BE" w:rsidRDefault="00E261BE"/>
    <w:p w:rsidR="00E261BE" w:rsidRDefault="00E261BE"/>
    <w:p w:rsidR="00E261BE" w:rsidRDefault="00E261BE"/>
    <w:p w:rsidR="00E261BE" w:rsidRDefault="00E261BE"/>
    <w:p w:rsidR="00E261BE" w:rsidRDefault="00E261BE"/>
    <w:p w:rsidR="00E261BE" w:rsidRDefault="00E261BE"/>
    <w:sectPr w:rsidR="00E261BE" w:rsidSect="00DC717F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003"/>
    <w:rsid w:val="00002E91"/>
    <w:rsid w:val="00011DCA"/>
    <w:rsid w:val="00013A6E"/>
    <w:rsid w:val="000236E2"/>
    <w:rsid w:val="0003046A"/>
    <w:rsid w:val="00057853"/>
    <w:rsid w:val="000635CE"/>
    <w:rsid w:val="000709D1"/>
    <w:rsid w:val="0007350C"/>
    <w:rsid w:val="00073CA4"/>
    <w:rsid w:val="000814E3"/>
    <w:rsid w:val="000949E6"/>
    <w:rsid w:val="000A3B1C"/>
    <w:rsid w:val="000A5440"/>
    <w:rsid w:val="000B56BE"/>
    <w:rsid w:val="000C1AFF"/>
    <w:rsid w:val="000D362C"/>
    <w:rsid w:val="000D69E1"/>
    <w:rsid w:val="000D6AD7"/>
    <w:rsid w:val="000D6B09"/>
    <w:rsid w:val="000E36C1"/>
    <w:rsid w:val="000F4A6F"/>
    <w:rsid w:val="000F5BA5"/>
    <w:rsid w:val="00103397"/>
    <w:rsid w:val="00120D16"/>
    <w:rsid w:val="00137186"/>
    <w:rsid w:val="00137E74"/>
    <w:rsid w:val="00144875"/>
    <w:rsid w:val="00146545"/>
    <w:rsid w:val="00155848"/>
    <w:rsid w:val="00164219"/>
    <w:rsid w:val="0016782C"/>
    <w:rsid w:val="00173528"/>
    <w:rsid w:val="0018508A"/>
    <w:rsid w:val="001B0C69"/>
    <w:rsid w:val="001C7E89"/>
    <w:rsid w:val="001D016C"/>
    <w:rsid w:val="001D3668"/>
    <w:rsid w:val="001D6286"/>
    <w:rsid w:val="001E41CD"/>
    <w:rsid w:val="00200420"/>
    <w:rsid w:val="002146B5"/>
    <w:rsid w:val="002151B1"/>
    <w:rsid w:val="002164CD"/>
    <w:rsid w:val="002200BB"/>
    <w:rsid w:val="002240FD"/>
    <w:rsid w:val="00243A7E"/>
    <w:rsid w:val="00246B75"/>
    <w:rsid w:val="002527CD"/>
    <w:rsid w:val="0026357F"/>
    <w:rsid w:val="00263A6C"/>
    <w:rsid w:val="0026467F"/>
    <w:rsid w:val="00272E23"/>
    <w:rsid w:val="00280641"/>
    <w:rsid w:val="00287794"/>
    <w:rsid w:val="00292ADE"/>
    <w:rsid w:val="002B7887"/>
    <w:rsid w:val="002D00C8"/>
    <w:rsid w:val="002D0BAC"/>
    <w:rsid w:val="002D693B"/>
    <w:rsid w:val="002D70FD"/>
    <w:rsid w:val="002E0B21"/>
    <w:rsid w:val="002E1FA0"/>
    <w:rsid w:val="002E55AF"/>
    <w:rsid w:val="002E7993"/>
    <w:rsid w:val="002F28CC"/>
    <w:rsid w:val="003019D0"/>
    <w:rsid w:val="00305E85"/>
    <w:rsid w:val="00314F0D"/>
    <w:rsid w:val="00324BDB"/>
    <w:rsid w:val="0032631A"/>
    <w:rsid w:val="00354B1D"/>
    <w:rsid w:val="00363849"/>
    <w:rsid w:val="003776EC"/>
    <w:rsid w:val="003804B3"/>
    <w:rsid w:val="0038524D"/>
    <w:rsid w:val="00390481"/>
    <w:rsid w:val="003B537B"/>
    <w:rsid w:val="003C1003"/>
    <w:rsid w:val="003C1029"/>
    <w:rsid w:val="003C3E07"/>
    <w:rsid w:val="003D1B8D"/>
    <w:rsid w:val="003E5CC8"/>
    <w:rsid w:val="003E76B4"/>
    <w:rsid w:val="00403777"/>
    <w:rsid w:val="00414774"/>
    <w:rsid w:val="004221A1"/>
    <w:rsid w:val="00425DDC"/>
    <w:rsid w:val="0043068C"/>
    <w:rsid w:val="00430D14"/>
    <w:rsid w:val="00440AC5"/>
    <w:rsid w:val="00445746"/>
    <w:rsid w:val="00446E3C"/>
    <w:rsid w:val="00462960"/>
    <w:rsid w:val="00462DEC"/>
    <w:rsid w:val="00463CAD"/>
    <w:rsid w:val="00466DF9"/>
    <w:rsid w:val="00471F32"/>
    <w:rsid w:val="00480E8A"/>
    <w:rsid w:val="00487176"/>
    <w:rsid w:val="004907C7"/>
    <w:rsid w:val="00490B74"/>
    <w:rsid w:val="00490BA3"/>
    <w:rsid w:val="00491F8F"/>
    <w:rsid w:val="0049298B"/>
    <w:rsid w:val="004C3450"/>
    <w:rsid w:val="004E44ED"/>
    <w:rsid w:val="004E58C3"/>
    <w:rsid w:val="004F0C3C"/>
    <w:rsid w:val="004F1F62"/>
    <w:rsid w:val="00500E6D"/>
    <w:rsid w:val="00517786"/>
    <w:rsid w:val="00521171"/>
    <w:rsid w:val="00537596"/>
    <w:rsid w:val="00540BAB"/>
    <w:rsid w:val="00543E0F"/>
    <w:rsid w:val="00546C91"/>
    <w:rsid w:val="0056145D"/>
    <w:rsid w:val="00563B45"/>
    <w:rsid w:val="00564FE9"/>
    <w:rsid w:val="00567FBA"/>
    <w:rsid w:val="00574460"/>
    <w:rsid w:val="005808E7"/>
    <w:rsid w:val="00594351"/>
    <w:rsid w:val="005A7056"/>
    <w:rsid w:val="005B4C40"/>
    <w:rsid w:val="005C023E"/>
    <w:rsid w:val="005C3DA6"/>
    <w:rsid w:val="005C43E2"/>
    <w:rsid w:val="005C5BE4"/>
    <w:rsid w:val="005D072C"/>
    <w:rsid w:val="005D3729"/>
    <w:rsid w:val="005D38C5"/>
    <w:rsid w:val="005E2285"/>
    <w:rsid w:val="005F63C0"/>
    <w:rsid w:val="00601D1D"/>
    <w:rsid w:val="00603AD9"/>
    <w:rsid w:val="006109EC"/>
    <w:rsid w:val="006365BD"/>
    <w:rsid w:val="00636A0C"/>
    <w:rsid w:val="00636E23"/>
    <w:rsid w:val="00652818"/>
    <w:rsid w:val="0065618D"/>
    <w:rsid w:val="00666F15"/>
    <w:rsid w:val="006707CC"/>
    <w:rsid w:val="00671B76"/>
    <w:rsid w:val="006766CC"/>
    <w:rsid w:val="00681B9B"/>
    <w:rsid w:val="0068350E"/>
    <w:rsid w:val="00693B31"/>
    <w:rsid w:val="006A098C"/>
    <w:rsid w:val="006A0ADE"/>
    <w:rsid w:val="006A55FA"/>
    <w:rsid w:val="006B1410"/>
    <w:rsid w:val="006B6286"/>
    <w:rsid w:val="006C631D"/>
    <w:rsid w:val="006C71C2"/>
    <w:rsid w:val="006D2198"/>
    <w:rsid w:val="006E0535"/>
    <w:rsid w:val="006E07C1"/>
    <w:rsid w:val="006E3CD5"/>
    <w:rsid w:val="006F27E3"/>
    <w:rsid w:val="006F74A5"/>
    <w:rsid w:val="0070552F"/>
    <w:rsid w:val="00710A25"/>
    <w:rsid w:val="00716421"/>
    <w:rsid w:val="007176ED"/>
    <w:rsid w:val="0072620D"/>
    <w:rsid w:val="00740DFB"/>
    <w:rsid w:val="00743CC1"/>
    <w:rsid w:val="007442F9"/>
    <w:rsid w:val="00757535"/>
    <w:rsid w:val="007728B4"/>
    <w:rsid w:val="00793810"/>
    <w:rsid w:val="007A30B9"/>
    <w:rsid w:val="007A3AAF"/>
    <w:rsid w:val="007B37E9"/>
    <w:rsid w:val="007B5C19"/>
    <w:rsid w:val="007C2FC3"/>
    <w:rsid w:val="007C5282"/>
    <w:rsid w:val="007C7998"/>
    <w:rsid w:val="007D3F08"/>
    <w:rsid w:val="007F024F"/>
    <w:rsid w:val="007F08A4"/>
    <w:rsid w:val="007F6C38"/>
    <w:rsid w:val="00813435"/>
    <w:rsid w:val="008150D6"/>
    <w:rsid w:val="00815ADA"/>
    <w:rsid w:val="008170A2"/>
    <w:rsid w:val="00834F6C"/>
    <w:rsid w:val="00847338"/>
    <w:rsid w:val="00854976"/>
    <w:rsid w:val="00862D9C"/>
    <w:rsid w:val="008664F2"/>
    <w:rsid w:val="0087273A"/>
    <w:rsid w:val="00892A4E"/>
    <w:rsid w:val="008939F6"/>
    <w:rsid w:val="0089545F"/>
    <w:rsid w:val="008A356C"/>
    <w:rsid w:val="008A7DC4"/>
    <w:rsid w:val="008B57F5"/>
    <w:rsid w:val="008B65B3"/>
    <w:rsid w:val="008C0DA9"/>
    <w:rsid w:val="008D533D"/>
    <w:rsid w:val="008E1233"/>
    <w:rsid w:val="008F094A"/>
    <w:rsid w:val="008F291C"/>
    <w:rsid w:val="0090189A"/>
    <w:rsid w:val="0090211E"/>
    <w:rsid w:val="0092736A"/>
    <w:rsid w:val="00931C88"/>
    <w:rsid w:val="00943169"/>
    <w:rsid w:val="0094549F"/>
    <w:rsid w:val="00952FC0"/>
    <w:rsid w:val="00964342"/>
    <w:rsid w:val="00964C1D"/>
    <w:rsid w:val="0097058F"/>
    <w:rsid w:val="009800A3"/>
    <w:rsid w:val="00986FEC"/>
    <w:rsid w:val="009B2AE3"/>
    <w:rsid w:val="009C1F69"/>
    <w:rsid w:val="009C6264"/>
    <w:rsid w:val="009D75D3"/>
    <w:rsid w:val="009E10D2"/>
    <w:rsid w:val="009E1B1C"/>
    <w:rsid w:val="009E6348"/>
    <w:rsid w:val="009F4FF9"/>
    <w:rsid w:val="00A0133E"/>
    <w:rsid w:val="00A215EB"/>
    <w:rsid w:val="00A432B0"/>
    <w:rsid w:val="00A445AE"/>
    <w:rsid w:val="00A45E66"/>
    <w:rsid w:val="00A46137"/>
    <w:rsid w:val="00A47CB8"/>
    <w:rsid w:val="00A52CC3"/>
    <w:rsid w:val="00A57EE3"/>
    <w:rsid w:val="00A678CB"/>
    <w:rsid w:val="00A70FFE"/>
    <w:rsid w:val="00A75095"/>
    <w:rsid w:val="00A76348"/>
    <w:rsid w:val="00AB2F97"/>
    <w:rsid w:val="00AC603F"/>
    <w:rsid w:val="00AD4FEF"/>
    <w:rsid w:val="00AD7C4B"/>
    <w:rsid w:val="00AE44E5"/>
    <w:rsid w:val="00AE4BED"/>
    <w:rsid w:val="00AF3D80"/>
    <w:rsid w:val="00B15EF3"/>
    <w:rsid w:val="00B16051"/>
    <w:rsid w:val="00B178F8"/>
    <w:rsid w:val="00B21B7C"/>
    <w:rsid w:val="00B26066"/>
    <w:rsid w:val="00B262D5"/>
    <w:rsid w:val="00B34F67"/>
    <w:rsid w:val="00B358FB"/>
    <w:rsid w:val="00B35D89"/>
    <w:rsid w:val="00B472D9"/>
    <w:rsid w:val="00B5194A"/>
    <w:rsid w:val="00B524CE"/>
    <w:rsid w:val="00B96A05"/>
    <w:rsid w:val="00BA7048"/>
    <w:rsid w:val="00BB1A6F"/>
    <w:rsid w:val="00BC69A1"/>
    <w:rsid w:val="00BD034E"/>
    <w:rsid w:val="00BD757E"/>
    <w:rsid w:val="00BD7AE5"/>
    <w:rsid w:val="00BE0B99"/>
    <w:rsid w:val="00BE5144"/>
    <w:rsid w:val="00BF1776"/>
    <w:rsid w:val="00BF49E2"/>
    <w:rsid w:val="00BF6B1F"/>
    <w:rsid w:val="00C0600B"/>
    <w:rsid w:val="00C10249"/>
    <w:rsid w:val="00C17818"/>
    <w:rsid w:val="00C2031C"/>
    <w:rsid w:val="00C23065"/>
    <w:rsid w:val="00C255B0"/>
    <w:rsid w:val="00C342EF"/>
    <w:rsid w:val="00C34EE9"/>
    <w:rsid w:val="00C35B35"/>
    <w:rsid w:val="00C4066E"/>
    <w:rsid w:val="00C41C4D"/>
    <w:rsid w:val="00C519C0"/>
    <w:rsid w:val="00C5389E"/>
    <w:rsid w:val="00C602B9"/>
    <w:rsid w:val="00C63BD0"/>
    <w:rsid w:val="00C87EC0"/>
    <w:rsid w:val="00CB3CE5"/>
    <w:rsid w:val="00CD60D6"/>
    <w:rsid w:val="00CF270A"/>
    <w:rsid w:val="00CF2A20"/>
    <w:rsid w:val="00CF3C2A"/>
    <w:rsid w:val="00CF3D05"/>
    <w:rsid w:val="00CF4692"/>
    <w:rsid w:val="00CF614F"/>
    <w:rsid w:val="00D041A9"/>
    <w:rsid w:val="00D079F1"/>
    <w:rsid w:val="00D1142E"/>
    <w:rsid w:val="00D12361"/>
    <w:rsid w:val="00D12374"/>
    <w:rsid w:val="00D23465"/>
    <w:rsid w:val="00D251E1"/>
    <w:rsid w:val="00D3058F"/>
    <w:rsid w:val="00D371C1"/>
    <w:rsid w:val="00D40D8F"/>
    <w:rsid w:val="00D428C1"/>
    <w:rsid w:val="00D5174D"/>
    <w:rsid w:val="00D6345C"/>
    <w:rsid w:val="00D8057D"/>
    <w:rsid w:val="00D80984"/>
    <w:rsid w:val="00D92E51"/>
    <w:rsid w:val="00D93FF0"/>
    <w:rsid w:val="00DA406C"/>
    <w:rsid w:val="00DB0518"/>
    <w:rsid w:val="00DB47DB"/>
    <w:rsid w:val="00DC27F4"/>
    <w:rsid w:val="00DC28D8"/>
    <w:rsid w:val="00DC4016"/>
    <w:rsid w:val="00DC717F"/>
    <w:rsid w:val="00DD5DF2"/>
    <w:rsid w:val="00DE2380"/>
    <w:rsid w:val="00DE4229"/>
    <w:rsid w:val="00DE73D7"/>
    <w:rsid w:val="00DF29CA"/>
    <w:rsid w:val="00DF34B0"/>
    <w:rsid w:val="00DF51F4"/>
    <w:rsid w:val="00E04E6F"/>
    <w:rsid w:val="00E21F8B"/>
    <w:rsid w:val="00E261BE"/>
    <w:rsid w:val="00E330CF"/>
    <w:rsid w:val="00E41CBD"/>
    <w:rsid w:val="00E5472A"/>
    <w:rsid w:val="00E630CA"/>
    <w:rsid w:val="00E72935"/>
    <w:rsid w:val="00E76D51"/>
    <w:rsid w:val="00E857ED"/>
    <w:rsid w:val="00E90183"/>
    <w:rsid w:val="00EA0782"/>
    <w:rsid w:val="00EA123E"/>
    <w:rsid w:val="00EB5D27"/>
    <w:rsid w:val="00EB768F"/>
    <w:rsid w:val="00EC1A96"/>
    <w:rsid w:val="00EC28CE"/>
    <w:rsid w:val="00EC2960"/>
    <w:rsid w:val="00ED466F"/>
    <w:rsid w:val="00ED492F"/>
    <w:rsid w:val="00ED698C"/>
    <w:rsid w:val="00EF34B2"/>
    <w:rsid w:val="00F0376B"/>
    <w:rsid w:val="00F0499A"/>
    <w:rsid w:val="00F066C5"/>
    <w:rsid w:val="00F12767"/>
    <w:rsid w:val="00F408E1"/>
    <w:rsid w:val="00F445F5"/>
    <w:rsid w:val="00F47260"/>
    <w:rsid w:val="00F47265"/>
    <w:rsid w:val="00F527A4"/>
    <w:rsid w:val="00F52F7C"/>
    <w:rsid w:val="00F5345E"/>
    <w:rsid w:val="00F67B31"/>
    <w:rsid w:val="00F702B0"/>
    <w:rsid w:val="00F83A2D"/>
    <w:rsid w:val="00F85664"/>
    <w:rsid w:val="00F85F70"/>
    <w:rsid w:val="00F92048"/>
    <w:rsid w:val="00F95626"/>
    <w:rsid w:val="00FA12C3"/>
    <w:rsid w:val="00FB186B"/>
    <w:rsid w:val="00FC39C2"/>
    <w:rsid w:val="00FC3B66"/>
    <w:rsid w:val="00FC3EAB"/>
    <w:rsid w:val="00FD0884"/>
    <w:rsid w:val="00FD7681"/>
    <w:rsid w:val="00FE1906"/>
    <w:rsid w:val="00FE3C75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0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C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3C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C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003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3C10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1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00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0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3C1003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3C1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C100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C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uiPriority w:val="99"/>
    <w:rsid w:val="003C10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0">
    <w:name w:val="Прижатый влево"/>
    <w:basedOn w:val="a"/>
    <w:next w:val="a"/>
    <w:uiPriority w:val="99"/>
    <w:rsid w:val="003C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3C1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2">
    <w:name w:val="Основной текст_"/>
    <w:link w:val="21"/>
    <w:locked/>
    <w:rsid w:val="003C1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C1003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rsid w:val="003C100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22">
    <w:name w:val="Основной текст (2)_"/>
    <w:basedOn w:val="a0"/>
    <w:link w:val="23"/>
    <w:locked/>
    <w:rsid w:val="003C1003"/>
    <w:rPr>
      <w:rFonts w:ascii="Calibri" w:hAnsi="Calibri"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003"/>
    <w:pPr>
      <w:widowControl w:val="0"/>
      <w:shd w:val="clear" w:color="auto" w:fill="FFFFFF"/>
      <w:spacing w:after="300" w:line="0" w:lineRule="atLeast"/>
      <w:jc w:val="right"/>
    </w:pPr>
    <w:rPr>
      <w:rFonts w:eastAsiaTheme="minorHAnsi" w:cs="Calibri"/>
      <w:b/>
      <w:bCs/>
      <w:spacing w:val="-2"/>
      <w:sz w:val="25"/>
      <w:szCs w:val="25"/>
    </w:rPr>
  </w:style>
  <w:style w:type="character" w:customStyle="1" w:styleId="11pt">
    <w:name w:val="Основной текст + 11 pt"/>
    <w:rsid w:val="003C10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3C1003"/>
  </w:style>
  <w:style w:type="character" w:customStyle="1" w:styleId="100">
    <w:name w:val="Основной текст + 10"/>
    <w:aliases w:val="5 pt,Не полужирный,Полужирный,Основной текст + Corbel,5,Масштаб 50%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10pt">
    <w:name w:val="Основной текст + 10 pt"/>
    <w:aliases w:val="Интервал 0 pt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">
    <w:name w:val="Основной шрифт абзаца1"/>
    <w:rsid w:val="003C1003"/>
  </w:style>
  <w:style w:type="character" w:customStyle="1" w:styleId="referenceable">
    <w:name w:val="referenceable"/>
    <w:basedOn w:val="a0"/>
    <w:rsid w:val="003C1003"/>
  </w:style>
  <w:style w:type="character" w:customStyle="1" w:styleId="extended-textfull">
    <w:name w:val="extended-text__full"/>
    <w:basedOn w:val="a0"/>
    <w:rsid w:val="003C1003"/>
  </w:style>
  <w:style w:type="character" w:customStyle="1" w:styleId="Mention">
    <w:name w:val="Mention"/>
    <w:basedOn w:val="a0"/>
    <w:uiPriority w:val="99"/>
    <w:semiHidden/>
    <w:rsid w:val="003C1003"/>
    <w:rPr>
      <w:color w:val="2B579A"/>
      <w:shd w:val="clear" w:color="auto" w:fill="E6E6E6"/>
    </w:rPr>
  </w:style>
  <w:style w:type="table" w:styleId="af3">
    <w:name w:val="Table Grid"/>
    <w:basedOn w:val="a1"/>
    <w:uiPriority w:val="59"/>
    <w:rsid w:val="003C1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31.ru/" TargetMode="External"/><Relationship Id="rId5" Type="http://schemas.openxmlformats.org/officeDocument/2006/relationships/hyperlink" Target="http://www.graivoron.ru/deyatelnost/zhkh-i-blagoustrojstvo/" TargetMode="External"/><Relationship Id="rId4" Type="http://schemas.openxmlformats.org/officeDocument/2006/relationships/hyperlink" Target="consultantplus://offline/ref=5A134329D8F628E68750B42C2A691054D6050EAFE25F2DFA0CC45E617D51C59922153589B1F5B605DB12B2F82B4FDC53c2r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27</Pages>
  <Words>7467</Words>
  <Characters>42563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381</cp:revision>
  <cp:lastPrinted>2019-11-26T10:59:00Z</cp:lastPrinted>
  <dcterms:created xsi:type="dcterms:W3CDTF">2019-10-22T07:06:00Z</dcterms:created>
  <dcterms:modified xsi:type="dcterms:W3CDTF">2022-02-01T07:56:00Z</dcterms:modified>
</cp:coreProperties>
</file>