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</w:rPr>
        <w:t xml:space="preserve">                     </w:t>
      </w:r>
    </w:p>
    <w:p>
      <w:pPr>
        <w:pStyle w:val="NoSpacing"/>
        <w:jc w:val="both"/>
        <w:rPr>
          <w:rFonts w:ascii="Arial" w:hAnsi="Arial" w:eastAsia="Arial" w:cs="Arial"/>
          <w:color w:val="000000"/>
          <w:sz w:val="42"/>
        </w:rPr>
      </w:pPr>
      <w:r>
        <w:rPr>
          <w:rFonts w:eastAsia="Arial" w:cs="Arial" w:ascii="Arial" w:hAnsi="Arial"/>
          <w:color w:val="000000"/>
          <w:sz w:val="42"/>
          <w:highlight w:val="white"/>
        </w:rPr>
        <w:t>Все, у кого есть наемные работники, должны провести специальную оценку рабочих мест.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</w:rPr>
      </w:r>
    </w:p>
    <w:p>
      <w:pPr>
        <w:pStyle w:val="Normal"/>
        <w:shd w:val="clear" w:color="FFFFFF" w:fill="FFFFFF"/>
        <w:spacing w:before="0" w:after="300"/>
        <w:ind w:left="0" w:right="0" w:hanging="0"/>
        <w:rPr>
          <w:rFonts w:ascii="Arial" w:hAnsi="Arial" w:eastAsia="Arial" w:cs="Arial"/>
          <w:sz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</w:rPr>
        <w:tab/>
      </w:r>
      <w:r>
        <w:rPr>
          <w:rFonts w:eastAsia="Arial" w:cs="Arial" w:ascii="Arial" w:hAnsi="Arial"/>
          <w:color w:val="000000"/>
          <w:sz w:val="3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highlight w:val="white"/>
        </w:rPr>
        <w:tab/>
        <w:t>Оценивать 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highlight w:val="white"/>
        </w:rPr>
        <w:t>рабочие</w:t>
      </w:r>
      <w:r>
        <w:rPr>
          <w:rFonts w:eastAsia="Times New Roman" w:cs="Times New Roman" w:ascii="Times New Roman" w:hAnsi="Times New Roman"/>
          <w:color w:val="000000" w:themeColor="text1"/>
          <w:sz w:val="28"/>
          <w:highlight w:val="white"/>
        </w:rPr>
        <w:t> 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highlight w:val="white"/>
        </w:rPr>
        <w:t>места</w:t>
      </w:r>
      <w:r>
        <w:rPr>
          <w:rFonts w:eastAsia="Times New Roman" w:cs="Times New Roman" w:ascii="Times New Roman" w:hAnsi="Times New Roman"/>
          <w:color w:val="000000" w:themeColor="text1"/>
          <w:sz w:val="28"/>
          <w:highlight w:val="white"/>
        </w:rPr>
        <w:t> должен любой бизнес, в котором работают сотрудники. </w:t>
      </w:r>
      <w:r>
        <w:rPr>
          <w:rFonts w:eastAsia="Times New Roman" w:cs="Times New Roman" w:ascii="Times New Roman" w:hAnsi="Times New Roman"/>
          <w:color w:val="000000" w:themeColor="text1"/>
          <w:sz w:val="28"/>
        </w:rPr>
        <w:t>Рабочее место – это место, куда работник должен прибыть в связи с работой и которое прямо или косвенно находится под контролем работодателя (</w:t>
      </w:r>
      <w:hyperlink r:id="rId2" w:tgtFrame="https://login.consultant.ru/link/?req=doc&amp;base=LAW&amp;n=383539&amp;dst=101249&amp;demo=1">
        <w:r>
          <w:rPr>
            <w:rFonts w:eastAsia="Times New Roman" w:cs="Times New Roman" w:ascii="Times New Roman" w:hAnsi="Times New Roman"/>
            <w:color w:val="000000" w:themeColor="text1"/>
            <w:sz w:val="28"/>
            <w:u w:val="single"/>
          </w:rPr>
          <w:t>ст. 209 ТК РФ</w:t>
        </w:r>
      </w:hyperlink>
      <w:r>
        <w:rPr>
          <w:rFonts w:eastAsia="Times New Roman" w:cs="Times New Roman" w:ascii="Times New Roman" w:hAnsi="Times New Roman"/>
          <w:color w:val="000000" w:themeColor="text1"/>
          <w:sz w:val="28"/>
        </w:rPr>
        <w:t xml:space="preserve">).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highlight w:val="white"/>
        </w:rPr>
        <w:t>Оценке подлежат все места, на которых работают люди: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highlight w:val="white"/>
        </w:rPr>
        <w:t xml:space="preserve"> в офисе, на кухне в кафе, в швейном цехе и на </w:t>
      </w:r>
      <w:r>
        <w:rPr>
          <w:rFonts w:eastAsia="Times New Roman" w:cs="Times New Roman" w:ascii="Times New Roman" w:hAnsi="Times New Roman"/>
          <w:color w:val="000000" w:themeColor="text1"/>
          <w:sz w:val="28"/>
          <w:highlight w:val="white"/>
        </w:rPr>
        <w:t xml:space="preserve">мебельном 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highlight w:val="white"/>
        </w:rPr>
        <w:t>производстве. Оценку проводят специализированные фирмы.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</w:rPr>
        <w:t xml:space="preserve"> </w:t>
      </w:r>
    </w:p>
    <w:p>
      <w:pPr>
        <w:pStyle w:val="NoSpacing"/>
        <w:jc w:val="both"/>
        <w:rPr>
          <w:rFonts w:ascii="Times New Roman" w:hAnsi="Times New Roman" w:eastAsia="Times New Roman" w:cs="Times New Roman"/>
          <w:b w:val="false"/>
          <w:b w:val="false"/>
          <w:color w:val="000000" w:themeColor="text1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highlight w:val="white"/>
        </w:rPr>
        <w:tab/>
        <w:t>Специальная оценка условий труда не проводится в отношении условий труда надомников, дистанционных работников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</w:rPr>
        <w:t>,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highlight w:val="white"/>
        </w:rPr>
        <w:t> работников, вступивших в трудовые отношения с работодателями и физическими лицами, не являющимися индивидуальными предпринимателями, а так же с работодателями - религиозными организациями, зарегистрированными в соответствии с федеральным законом.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highlight w:val="white"/>
        </w:rPr>
        <w:t>Специальная оценка проводится не реже одного раза в 5 лет. Срок исчисляется со дня утверждения отчета о ее проведении (ч. 4 ст. 8 Закона). Однако, если проведенная спецоценка подтвердит оптимальные или допустимые условия на рабочих местах, а в течение 5 лет с даты утверждения отчета в организации не будут выявлены профзаболевания и не произойдет несчастный случай – результаты такой спецоценки автоматически продлеваются на следующие 5 лет.</w:t>
      </w:r>
    </w:p>
    <w:p>
      <w:pPr>
        <w:pStyle w:val="NoSpacing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</w:rPr>
        <w:t>Ответственность за непроведение СОУТ размер административного наказания не изменился, а ответственность за непроведение СОУТ немаленькая.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b w:val="false"/>
          <w:b w:val="false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</w:rPr>
        <w:tab/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szCs w:val="28"/>
        </w:rPr>
        <w:t>Рано или поздно вас выявят, выпишут штраф и проводить спецоценку в любом случае обяжут и отговорки, я не знал , так как я ИП, или да мы ж бюджетники нас не финансируют, особо не спасут.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szCs w:val="28"/>
        </w:rPr>
        <w:t>Штраф на должностное лицо и ИП – от 5000 рублей до 10000 рублей;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 w:themeColor="text1"/>
          <w:sz w:val="28"/>
          <w:szCs w:val="28"/>
        </w:rPr>
        <w:t xml:space="preserve">на ЮЛ – от 60000 рублей до 80000 рублей.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Чтобы не получить наказание за нарушение действующего законодательства – его необходимо знать и исполнять. Рекомендуем всем специалистам по охране труда ориентироваться только на свои знания и на содержание действующих нормативно-правовых актов</w:t>
      </w:r>
    </w:p>
    <w:p>
      <w:pPr>
        <w:pStyle w:val="NoSpacing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83539&amp;dst=101249&amp;demo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LibreOffice/7.0.3.1$Linux_X86_64 LibreOffice_project/00$Build-1</Application>
  <Pages>1</Pages>
  <Words>278</Words>
  <Characters>1676</Characters>
  <CharactersWithSpaces>1980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2022-08-02T08:27:36Z</cp:lastPrinted>
  <dcterms:modified xsi:type="dcterms:W3CDTF">2022-08-02T08:27:41Z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