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40" w:rsidRDefault="006F06E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 №2</w:t>
      </w:r>
    </w:p>
    <w:p w:rsidR="00545C40" w:rsidRDefault="006F06E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Заседания общественной комиссии </w:t>
      </w:r>
      <w:r w:rsidR="00B5347C">
        <w:rPr>
          <w:rFonts w:ascii="Times New Roman" w:hAnsi="Times New Roman" w:cs="Times New Roman"/>
          <w:b/>
          <w:bCs/>
          <w:sz w:val="26"/>
          <w:szCs w:val="26"/>
        </w:rPr>
        <w:t xml:space="preserve">при администрации Грайворонского муниципального округа для осуществления </w:t>
      </w:r>
      <w:r w:rsidR="00204230">
        <w:rPr>
          <w:rFonts w:ascii="Times New Roman" w:hAnsi="Times New Roman" w:cs="Times New Roman"/>
          <w:b/>
          <w:bCs/>
          <w:sz w:val="26"/>
          <w:szCs w:val="26"/>
        </w:rPr>
        <w:t>контроля за реализацией программы "Формирование современной городской среды на территории Грайворонского муниципального округа"</w:t>
      </w:r>
      <w:r>
        <w:rPr>
          <w:rFonts w:ascii="Times New Roman" w:hAnsi="Times New Roman" w:cs="Times New Roman"/>
          <w:b/>
          <w:bCs/>
          <w:sz w:val="26"/>
          <w:szCs w:val="26"/>
        </w:rPr>
        <w:t>по вопросу проведения итогов по отбору общественных территорий, планируемых к благоустройству в 2027 году</w:t>
      </w:r>
      <w:r w:rsidR="008B6F8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B5347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af6"/>
        <w:tblW w:w="0" w:type="auto"/>
        <w:tblLook w:val="04A0"/>
      </w:tblPr>
      <w:tblGrid>
        <w:gridCol w:w="4621"/>
        <w:gridCol w:w="4621"/>
      </w:tblGrid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Грайворон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20423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6F06E2">
              <w:rPr>
                <w:rFonts w:ascii="Times New Roman" w:hAnsi="Times New Roman" w:cs="Times New Roman"/>
                <w:sz w:val="26"/>
                <w:szCs w:val="26"/>
              </w:rPr>
              <w:t>.03.2026</w:t>
            </w:r>
          </w:p>
        </w:tc>
      </w:tr>
    </w:tbl>
    <w:p w:rsidR="00545C40" w:rsidRDefault="00545C40">
      <w:pPr>
        <w:jc w:val="center"/>
      </w:pPr>
    </w:p>
    <w:p w:rsidR="00545C40" w:rsidRDefault="006F06E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Присутствуют:</w:t>
      </w:r>
    </w:p>
    <w:tbl>
      <w:tblPr>
        <w:tblStyle w:val="af6"/>
        <w:tblW w:w="0" w:type="auto"/>
        <w:tblLook w:val="04A0"/>
      </w:tblPr>
      <w:tblGrid>
        <w:gridCol w:w="4621"/>
        <w:gridCol w:w="4621"/>
      </w:tblGrid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Казанцев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spacing w:line="259" w:lineRule="auto"/>
              <w:ind w:right="6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Исполняющий обязанности заместителя главы </w:t>
            </w:r>
          </w:p>
          <w:p w:rsidR="00545C40" w:rsidRDefault="006F06E2">
            <w:pPr>
              <w:spacing w:line="259" w:lineRule="auto"/>
              <w:ind w:right="5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</w:t>
            </w:r>
          </w:p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округа - начальник управления ЖКХ, транспорта и ТЭК,  председатель комиссии.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Селищева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spacing w:line="259" w:lineRule="auto"/>
              <w:ind w:right="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ЖКХ, транспорта и ТЭК, заместитель председателя комиссии;</w:t>
            </w:r>
          </w:p>
          <w:p w:rsidR="00545C40" w:rsidRDefault="00545C40">
            <w:pPr>
              <w:spacing w:line="259" w:lineRule="auto"/>
              <w:ind w:right="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Члены комиссии: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Николаевич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заместителя главы администрации муниципального округа - начальник управления капитального строительства и архитектуры;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Адаменко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Анатольевна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муниципального округа - руководитель аппарата главы администрации;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Радченко </w:t>
            </w:r>
          </w:p>
          <w:p w:rsidR="00545C40" w:rsidRDefault="006F06E2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Вячеслав Иванович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муниципального округа - Секретарь Совета Безопасности;</w:t>
            </w:r>
          </w:p>
          <w:p w:rsidR="00545C40" w:rsidRDefault="00545C40">
            <w:pPr>
              <w:jc w:val="right"/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Чернов </w:t>
            </w:r>
          </w:p>
          <w:p w:rsidR="00545C40" w:rsidRDefault="006F06E2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Геннадиевич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западного территориального управления;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Полякова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Ирина Анатольевна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восточного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территориального управления - Глава территориальной администрации;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Зайцев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Васильевич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муниципальной собственности и ресурсов администрации муниципального округа;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Шевченко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Валентина Викторовна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Pr="0026090A" w:rsidRDefault="006F06E2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right"/>
              <w:rPr>
                <w:rFonts w:ascii="Segoe UI"/>
                <w:color w:val="000000"/>
                <w:sz w:val="18"/>
              </w:rPr>
            </w:pPr>
            <w:r w:rsidRPr="00260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Председатель совета ветеранов </w:t>
            </w:r>
            <w:proofErr w:type="spellStart"/>
            <w:r w:rsidRPr="00260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Грайворонской</w:t>
            </w:r>
            <w:proofErr w:type="spellEnd"/>
            <w:r w:rsidRPr="002609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местной организации Всероссийской общественной организации ветеранов (пенсионеров) 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Фролов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Геннадий Викторович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 w:rsidP="00E07D0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ООО “Центр ЖКУ” Грайворонский” (по согласованию);</w:t>
            </w:r>
          </w:p>
          <w:p w:rsidR="00545C40" w:rsidRDefault="00545C40" w:rsidP="00E07D0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Сирота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Михайловна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 w:rsidP="00E07D0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 политической партии “Единая Россия”(по согласованию);</w:t>
            </w:r>
          </w:p>
        </w:tc>
      </w:tr>
    </w:tbl>
    <w:p w:rsidR="00545C40" w:rsidRDefault="00545C40">
      <w:pPr>
        <w:jc w:val="center"/>
      </w:pPr>
    </w:p>
    <w:p w:rsidR="00545C40" w:rsidRPr="0026090A" w:rsidRDefault="006F06E2" w:rsidP="0026090A">
      <w:pPr>
        <w:ind w:firstLine="720"/>
        <w:jc w:val="both"/>
        <w:rPr>
          <w:b/>
          <w:bCs/>
        </w:rPr>
      </w:pPr>
      <w:r>
        <w:rPr>
          <w:rFonts w:ascii="Times New Roman" w:hAnsi="Times New Roman" w:cs="Times New Roman"/>
          <w:sz w:val="26"/>
          <w:szCs w:val="26"/>
        </w:rPr>
        <w:t>На заседании присутствовало 11 членов комиссии, из 18 - заседание правомочно.</w:t>
      </w:r>
    </w:p>
    <w:p w:rsidR="00545C40" w:rsidRDefault="006F06E2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545C40" w:rsidRPr="0026090A" w:rsidRDefault="006F06E2" w:rsidP="000B30CB">
      <w:pPr>
        <w:numPr>
          <w:ilvl w:val="0"/>
          <w:numId w:val="1"/>
        </w:numPr>
        <w:ind w:left="142" w:firstLine="218"/>
        <w:rPr>
          <w:rFonts w:ascii="Times New Roman" w:hAnsi="Times New Roman" w:cs="Times New Roman"/>
          <w:sz w:val="26"/>
          <w:szCs w:val="26"/>
        </w:rPr>
      </w:pPr>
      <w:r w:rsidRPr="0026090A">
        <w:rPr>
          <w:rFonts w:ascii="Times New Roman" w:hAnsi="Times New Roman" w:cs="Times New Roman"/>
          <w:sz w:val="26"/>
          <w:szCs w:val="26"/>
        </w:rPr>
        <w:t>Об утверждении перечня общественных территорий, подлежащих благоустройству в первоочередном порядке, отобранных для общественного обсуждения.</w:t>
      </w:r>
    </w:p>
    <w:p w:rsidR="00545C40" w:rsidRDefault="00D066C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06E2">
        <w:rPr>
          <w:rFonts w:ascii="Times New Roman" w:hAnsi="Times New Roman" w:cs="Times New Roman"/>
          <w:sz w:val="26"/>
          <w:szCs w:val="26"/>
        </w:rPr>
        <w:t xml:space="preserve">По первому вопросу повестки дня </w:t>
      </w:r>
      <w:r w:rsidR="006F06E2" w:rsidRPr="00204230">
        <w:rPr>
          <w:rFonts w:ascii="Times New Roman" w:hAnsi="Times New Roman" w:cs="Times New Roman"/>
          <w:b/>
          <w:sz w:val="26"/>
          <w:szCs w:val="26"/>
        </w:rPr>
        <w:t>слушали</w:t>
      </w:r>
      <w:r w:rsidR="006F06E2">
        <w:rPr>
          <w:rFonts w:ascii="Times New Roman" w:hAnsi="Times New Roman" w:cs="Times New Roman"/>
          <w:sz w:val="26"/>
          <w:szCs w:val="26"/>
        </w:rPr>
        <w:t>:</w:t>
      </w:r>
    </w:p>
    <w:p w:rsidR="00545C40" w:rsidRDefault="006F06E2" w:rsidP="007E63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Казанцева А.В., исполняющего обязанности заместителя главы администрации - начальника управления ЖКХ, транспорта и ТЭК, который </w:t>
      </w:r>
      <w:r w:rsidR="00204230">
        <w:rPr>
          <w:rFonts w:ascii="Times New Roman" w:hAnsi="Times New Roman" w:cs="Times New Roman"/>
          <w:sz w:val="26"/>
          <w:szCs w:val="26"/>
        </w:rPr>
        <w:t xml:space="preserve">сообщил о том, что в период с 21 апреля 2025 года по 12 июня 2025 года на единой федеральной платформе планируется проведение </w:t>
      </w:r>
      <w:proofErr w:type="spellStart"/>
      <w:r w:rsidR="00204230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="00204230">
        <w:rPr>
          <w:rFonts w:ascii="Times New Roman" w:hAnsi="Times New Roman" w:cs="Times New Roman"/>
          <w:sz w:val="26"/>
          <w:szCs w:val="26"/>
        </w:rPr>
        <w:t xml:space="preserve"> голосования граждан по выбору </w:t>
      </w:r>
      <w:proofErr w:type="spellStart"/>
      <w:r w:rsidR="00204230">
        <w:rPr>
          <w:rFonts w:ascii="Times New Roman" w:hAnsi="Times New Roman" w:cs="Times New Roman"/>
          <w:sz w:val="26"/>
          <w:szCs w:val="26"/>
        </w:rPr>
        <w:t>дизайн-проектов</w:t>
      </w:r>
      <w:proofErr w:type="spellEnd"/>
      <w:r w:rsidR="00204230">
        <w:rPr>
          <w:rFonts w:ascii="Times New Roman" w:hAnsi="Times New Roman" w:cs="Times New Roman"/>
          <w:sz w:val="26"/>
          <w:szCs w:val="26"/>
        </w:rPr>
        <w:t xml:space="preserve"> общественных территорий, подлежащих благоустройству в первоочередном порядке в 2027 году в рамках </w:t>
      </w:r>
      <w:r w:rsidR="00E77AAE">
        <w:rPr>
          <w:rFonts w:ascii="Times New Roman" w:hAnsi="Times New Roman" w:cs="Times New Roman"/>
          <w:sz w:val="26"/>
          <w:szCs w:val="26"/>
        </w:rPr>
        <w:t xml:space="preserve">реализации муниципальной программы "Формирование современной городской среды на территории Грайворонского </w:t>
      </w:r>
      <w:r w:rsidR="005803F5">
        <w:rPr>
          <w:rFonts w:ascii="Times New Roman" w:hAnsi="Times New Roman" w:cs="Times New Roman"/>
          <w:sz w:val="26"/>
          <w:szCs w:val="26"/>
        </w:rPr>
        <w:t>муниципального</w:t>
      </w:r>
      <w:r w:rsidR="00E77AAE">
        <w:rPr>
          <w:rFonts w:ascii="Times New Roman" w:hAnsi="Times New Roman" w:cs="Times New Roman"/>
          <w:sz w:val="26"/>
          <w:szCs w:val="26"/>
        </w:rPr>
        <w:t xml:space="preserve"> округа".</w:t>
      </w:r>
    </w:p>
    <w:p w:rsidR="00545C40" w:rsidRDefault="007E634C" w:rsidP="007E634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период с 20 февраля по 10 марта 2026 года </w:t>
      </w:r>
      <w:r w:rsidR="006F06E2">
        <w:rPr>
          <w:rFonts w:ascii="Times New Roman" w:hAnsi="Times New Roman" w:cs="Times New Roman"/>
          <w:sz w:val="26"/>
          <w:szCs w:val="26"/>
        </w:rPr>
        <w:t xml:space="preserve">была открыта возможность для граждан Грайворонского муниципального округа предложить территорию для благоустройства, сбор предложений проводился через </w:t>
      </w:r>
      <w:proofErr w:type="spellStart"/>
      <w:r w:rsidR="006F06E2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="006F06E2">
        <w:rPr>
          <w:rFonts w:ascii="Times New Roman" w:hAnsi="Times New Roman" w:cs="Times New Roman"/>
          <w:sz w:val="26"/>
          <w:szCs w:val="26"/>
        </w:rPr>
        <w:t xml:space="preserve"> (</w:t>
      </w:r>
      <w:hyperlink r:id="rId5" w:history="1">
        <w:r w:rsidR="006F06E2">
          <w:rPr>
            <w:rStyle w:val="af2"/>
            <w:rFonts w:ascii="Times New Roman" w:hAnsi="Times New Roman" w:cs="Times New Roman"/>
            <w:sz w:val="26"/>
            <w:szCs w:val="26"/>
          </w:rPr>
          <w:t>https://pos.gosuslugi.ru/lkp/fkgs-offer/)</w:t>
        </w:r>
      </w:hyperlink>
      <w:r w:rsidR="006F06E2">
        <w:rPr>
          <w:rFonts w:ascii="Times New Roman" w:hAnsi="Times New Roman" w:cs="Times New Roman"/>
          <w:sz w:val="26"/>
          <w:szCs w:val="26"/>
        </w:rPr>
        <w:t>,</w:t>
      </w:r>
      <w:r w:rsidR="005803F5">
        <w:rPr>
          <w:rFonts w:ascii="Times New Roman" w:hAnsi="Times New Roman" w:cs="Times New Roman"/>
          <w:sz w:val="26"/>
          <w:szCs w:val="26"/>
        </w:rPr>
        <w:t xml:space="preserve"> </w:t>
      </w:r>
      <w:r w:rsidR="006F06E2">
        <w:rPr>
          <w:rFonts w:ascii="Times New Roman" w:hAnsi="Times New Roman" w:cs="Times New Roman"/>
          <w:sz w:val="26"/>
          <w:szCs w:val="26"/>
        </w:rPr>
        <w:t>посредством телефонной связи, электронной почты, либо в письменной форме.</w:t>
      </w:r>
    </w:p>
    <w:p w:rsidR="00B2676E" w:rsidRDefault="00B267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2676E" w:rsidRDefault="00B267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Предложения от жителей Грайворонского муниципального округа поступали в письменной форме, посредством телефонной связи в адрес У</w:t>
      </w:r>
      <w:r w:rsidR="00671BDC">
        <w:rPr>
          <w:rFonts w:ascii="Times New Roman" w:hAnsi="Times New Roman" w:cs="Times New Roman"/>
          <w:sz w:val="26"/>
          <w:szCs w:val="26"/>
        </w:rPr>
        <w:t>правления ЖКХ, транспорта и ТЭК администрации Грайворонского муниципального округа</w:t>
      </w:r>
    </w:p>
    <w:p w:rsidR="00B2676E" w:rsidRDefault="00B267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п</w:t>
      </w:r>
      <w:r w:rsidR="00BA1A07">
        <w:rPr>
          <w:rFonts w:ascii="Times New Roman" w:hAnsi="Times New Roman" w:cs="Times New Roman"/>
          <w:sz w:val="26"/>
          <w:szCs w:val="26"/>
        </w:rPr>
        <w:t>оступило 47</w:t>
      </w:r>
      <w:r>
        <w:rPr>
          <w:rFonts w:ascii="Times New Roman" w:hAnsi="Times New Roman" w:cs="Times New Roman"/>
          <w:sz w:val="26"/>
          <w:szCs w:val="26"/>
        </w:rPr>
        <w:t xml:space="preserve"> заявлений, из них: в письменной форме - 1</w:t>
      </w:r>
      <w:r w:rsidR="00BA1A0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шт, в устной (по телефону) - 31</w:t>
      </w:r>
      <w:r w:rsidR="00672C2D">
        <w:rPr>
          <w:rFonts w:ascii="Times New Roman" w:hAnsi="Times New Roman" w:cs="Times New Roman"/>
          <w:sz w:val="26"/>
          <w:szCs w:val="26"/>
        </w:rPr>
        <w:t xml:space="preserve">. </w:t>
      </w:r>
      <w:r w:rsidR="00BA1A07">
        <w:rPr>
          <w:rFonts w:ascii="Times New Roman" w:hAnsi="Times New Roman" w:cs="Times New Roman"/>
          <w:sz w:val="26"/>
          <w:szCs w:val="26"/>
        </w:rPr>
        <w:t>Предложены общественные территории, подлежащие к благоустройству в 2027 году</w:t>
      </w:r>
      <w:r w:rsidR="00672C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1A07" w:rsidRDefault="00BA1A0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F06E2">
        <w:rPr>
          <w:rFonts w:ascii="Times New Roman" w:hAnsi="Times New Roman" w:cs="Times New Roman"/>
          <w:sz w:val="26"/>
          <w:szCs w:val="26"/>
        </w:rPr>
        <w:t>ул. Мира в г. Грайворон</w:t>
      </w:r>
      <w:r w:rsidR="0026090A">
        <w:rPr>
          <w:rFonts w:ascii="Times New Roman" w:hAnsi="Times New Roman" w:cs="Times New Roman"/>
          <w:sz w:val="26"/>
          <w:szCs w:val="26"/>
        </w:rPr>
        <w:t>, прилегающей к Мемориалу Славы</w:t>
      </w:r>
      <w:r w:rsidR="00AE5545">
        <w:rPr>
          <w:rFonts w:ascii="Times New Roman" w:hAnsi="Times New Roman" w:cs="Times New Roman"/>
          <w:sz w:val="26"/>
          <w:szCs w:val="26"/>
        </w:rPr>
        <w:t xml:space="preserve"> </w:t>
      </w:r>
      <w:r w:rsidR="0026090A">
        <w:rPr>
          <w:rFonts w:ascii="Times New Roman" w:hAnsi="Times New Roman" w:cs="Times New Roman"/>
          <w:sz w:val="26"/>
          <w:szCs w:val="26"/>
        </w:rPr>
        <w:t xml:space="preserve">- 1 очередь, </w:t>
      </w:r>
      <w:r w:rsidR="00BF0465">
        <w:rPr>
          <w:rFonts w:ascii="Times New Roman" w:hAnsi="Times New Roman" w:cs="Times New Roman"/>
          <w:sz w:val="26"/>
          <w:szCs w:val="26"/>
        </w:rPr>
        <w:t>(19</w:t>
      </w:r>
      <w:r>
        <w:rPr>
          <w:rFonts w:ascii="Times New Roman" w:hAnsi="Times New Roman" w:cs="Times New Roman"/>
          <w:sz w:val="26"/>
          <w:szCs w:val="26"/>
        </w:rPr>
        <w:t xml:space="preserve"> заявлений )</w:t>
      </w:r>
    </w:p>
    <w:p w:rsidR="00545C40" w:rsidRDefault="00BA1A0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26090A">
        <w:rPr>
          <w:rFonts w:ascii="Times New Roman" w:hAnsi="Times New Roman" w:cs="Times New Roman"/>
          <w:sz w:val="26"/>
          <w:szCs w:val="26"/>
        </w:rPr>
        <w:t>ул. Мира в г. Грайворон, прилегающе</w:t>
      </w:r>
      <w:r>
        <w:rPr>
          <w:rFonts w:ascii="Times New Roman" w:hAnsi="Times New Roman" w:cs="Times New Roman"/>
          <w:sz w:val="26"/>
          <w:szCs w:val="26"/>
        </w:rPr>
        <w:t xml:space="preserve">й к Мемориалу Славы - 2 очередь, </w:t>
      </w:r>
      <w:r w:rsidR="00BF0465">
        <w:rPr>
          <w:rFonts w:ascii="Times New Roman" w:hAnsi="Times New Roman" w:cs="Times New Roman"/>
          <w:sz w:val="26"/>
          <w:szCs w:val="26"/>
        </w:rPr>
        <w:t>( 16</w:t>
      </w:r>
      <w:r>
        <w:rPr>
          <w:rFonts w:ascii="Times New Roman" w:hAnsi="Times New Roman" w:cs="Times New Roman"/>
          <w:sz w:val="26"/>
          <w:szCs w:val="26"/>
        </w:rPr>
        <w:t xml:space="preserve"> заявлений),</w:t>
      </w:r>
    </w:p>
    <w:p w:rsidR="00BA1A07" w:rsidRDefault="00BA1A0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-прилегающая территория парка 19 века с. Головчино, ул. Карла Маркса, (7 заявлений),</w:t>
      </w:r>
    </w:p>
    <w:p w:rsidR="00BA1A07" w:rsidRDefault="00BA1A07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благоустройство парка Борисенко г. Грайворон</w:t>
      </w:r>
      <w:r w:rsidR="00BF04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(5</w:t>
      </w:r>
      <w:r w:rsidR="00BF0465">
        <w:rPr>
          <w:rFonts w:ascii="Times New Roman" w:hAnsi="Times New Roman" w:cs="Times New Roman"/>
          <w:sz w:val="26"/>
          <w:szCs w:val="26"/>
        </w:rPr>
        <w:t xml:space="preserve"> заявлений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545C40" w:rsidRDefault="006F06E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Решили: </w:t>
      </w:r>
    </w:p>
    <w:p w:rsidR="00545C40" w:rsidRDefault="006F06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F0465">
        <w:rPr>
          <w:rFonts w:ascii="Times New Roman" w:hAnsi="Times New Roman" w:cs="Times New Roman"/>
          <w:sz w:val="26"/>
          <w:szCs w:val="26"/>
        </w:rPr>
        <w:t xml:space="preserve">Члены комиссии приняли решение об утверждении данного перечня общественных территорий, отобранных для проведения благоустройства в первоочередном порядке  </w:t>
      </w:r>
      <w:r w:rsidR="00671BDC">
        <w:rPr>
          <w:rFonts w:ascii="Times New Roman" w:hAnsi="Times New Roman" w:cs="Times New Roman"/>
          <w:sz w:val="26"/>
          <w:szCs w:val="26"/>
        </w:rPr>
        <w:t>в 2027 году.</w:t>
      </w:r>
    </w:p>
    <w:p w:rsidR="00BF0465" w:rsidRDefault="00BF0465" w:rsidP="00BF046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ул. Мира в г. Грайворон, прилегающей к Мемориалу Славы - 1 очередь, </w:t>
      </w:r>
    </w:p>
    <w:p w:rsidR="00BF0465" w:rsidRDefault="00BF0465" w:rsidP="00BF046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ул. Мира в г. Грайворон, прилегающей к Мемориалу Славы - 2 очередь, </w:t>
      </w:r>
    </w:p>
    <w:p w:rsidR="00BF0465" w:rsidRDefault="00BF0465" w:rsidP="00BF046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-прилегающая территория парка 19 века с. Головчино, ул. Карла Маркса, </w:t>
      </w:r>
    </w:p>
    <w:p w:rsidR="00BF0465" w:rsidRDefault="00BF0465" w:rsidP="00BF046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благоустройство парка Борисенко г. Грайворон.</w:t>
      </w:r>
    </w:p>
    <w:p w:rsidR="00BF0465" w:rsidRDefault="00BF04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45C40" w:rsidRDefault="006F06E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Предложено проголосовать</w:t>
      </w:r>
    </w:p>
    <w:p w:rsidR="00545C40" w:rsidRDefault="006F06E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“За” - 11</w:t>
      </w:r>
    </w:p>
    <w:p w:rsidR="00545C40" w:rsidRDefault="006F06E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“Против” - 0</w:t>
      </w:r>
    </w:p>
    <w:p w:rsidR="00545C40" w:rsidRDefault="006F06E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“Воздержались” - 0</w:t>
      </w:r>
    </w:p>
    <w:p w:rsidR="00545C40" w:rsidRDefault="006F06E2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545C40" w:rsidRDefault="00545C4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066CA" w:rsidRDefault="00D066C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6"/>
        <w:tblW w:w="0" w:type="auto"/>
        <w:jc w:val="center"/>
        <w:tblLook w:val="04A0"/>
      </w:tblPr>
      <w:tblGrid>
        <w:gridCol w:w="4621"/>
        <w:gridCol w:w="4621"/>
      </w:tblGrid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Казанцев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6F06E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председатель комиссии.</w:t>
            </w: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Селищева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spacing w:line="259" w:lineRule="auto"/>
              <w:ind w:right="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40D2" w:rsidRDefault="006F06E2">
            <w:pPr>
              <w:spacing w:line="259" w:lineRule="auto"/>
              <w:ind w:right="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</w:t>
            </w:r>
          </w:p>
          <w:p w:rsidR="00545C40" w:rsidRDefault="006F06E2">
            <w:pPr>
              <w:spacing w:line="259" w:lineRule="auto"/>
              <w:ind w:right="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комиссии;</w:t>
            </w:r>
          </w:p>
          <w:p w:rsidR="00545C40" w:rsidRDefault="00545C40">
            <w:pPr>
              <w:spacing w:line="259" w:lineRule="auto"/>
              <w:ind w:right="5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Члены комиссии: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Николаевич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Адаменко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Евгения Анатольевна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Радченко </w:t>
            </w:r>
          </w:p>
          <w:p w:rsidR="00545C40" w:rsidRDefault="006F06E2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Вячеслав Иванович</w:t>
            </w:r>
          </w:p>
          <w:p w:rsidR="00545C40" w:rsidRDefault="00545C40">
            <w:pPr>
              <w:jc w:val="center"/>
            </w:pPr>
          </w:p>
          <w:p w:rsidR="00545C40" w:rsidRDefault="00545C40">
            <w:pPr>
              <w:jc w:val="center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</w:pPr>
          </w:p>
          <w:p w:rsidR="00545C40" w:rsidRDefault="00545C40">
            <w:pPr>
              <w:jc w:val="right"/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Чернов </w:t>
            </w:r>
          </w:p>
          <w:p w:rsidR="00545C40" w:rsidRDefault="006F06E2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Геннадиевич</w:t>
            </w:r>
          </w:p>
          <w:p w:rsidR="00545C40" w:rsidRDefault="00545C40">
            <w:pPr>
              <w:jc w:val="center"/>
            </w:pPr>
          </w:p>
          <w:p w:rsidR="00545C40" w:rsidRDefault="00545C40">
            <w:pPr>
              <w:jc w:val="center"/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Полякова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Анатольевна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Анатолий Васильевич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Шевченко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Валентина Викторовна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right"/>
              <w:rPr>
                <w:rFonts w:ascii="Segoe UI"/>
                <w:color w:val="000000"/>
                <w:sz w:val="18"/>
                <w:lang w:val="en-US"/>
              </w:rPr>
            </w:pPr>
          </w:p>
          <w:p w:rsidR="00545C40" w:rsidRDefault="00545C4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right"/>
              <w:rPr>
                <w:rFonts w:ascii="Segoe UI"/>
                <w:color w:val="000000"/>
                <w:sz w:val="18"/>
                <w:lang w:val="en-US"/>
              </w:rPr>
            </w:pPr>
          </w:p>
          <w:p w:rsidR="00545C40" w:rsidRDefault="00545C4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right"/>
              <w:rPr>
                <w:rFonts w:ascii="Segoe UI"/>
                <w:color w:val="000000"/>
                <w:sz w:val="18"/>
                <w:lang w:val="en-US"/>
              </w:rPr>
            </w:pPr>
          </w:p>
          <w:p w:rsidR="00545C40" w:rsidRDefault="00545C4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jc w:val="right"/>
              <w:rPr>
                <w:rFonts w:ascii="Segoe UI"/>
                <w:color w:val="000000"/>
                <w:sz w:val="18"/>
                <w:lang w:val="en-US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Фролов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Геннадий Викторович</w:t>
            </w: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5C40">
        <w:trPr>
          <w:jc w:val="center"/>
        </w:trPr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Сирота </w:t>
            </w:r>
          </w:p>
          <w:p w:rsidR="00545C40" w:rsidRDefault="006F0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Михайловна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545C40" w:rsidRDefault="00545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5C40" w:rsidRDefault="00545C40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545C40" w:rsidSect="00545C40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2369"/>
    <w:multiLevelType w:val="hybridMultilevel"/>
    <w:tmpl w:val="86CCB31C"/>
    <w:lvl w:ilvl="0" w:tplc="E0FCBD18">
      <w:start w:val="1"/>
      <w:numFmt w:val="decimal"/>
      <w:lvlText w:val="%1."/>
      <w:lvlJc w:val="left"/>
      <w:pPr>
        <w:ind w:left="720" w:hanging="360"/>
      </w:pPr>
    </w:lvl>
    <w:lvl w:ilvl="1" w:tplc="C59A17FC" w:tentative="1">
      <w:start w:val="1"/>
      <w:numFmt w:val="lowerLetter"/>
      <w:lvlText w:val="%2."/>
      <w:lvlJc w:val="left"/>
      <w:pPr>
        <w:ind w:left="1440" w:hanging="360"/>
      </w:pPr>
    </w:lvl>
    <w:lvl w:ilvl="2" w:tplc="667E782E" w:tentative="1">
      <w:start w:val="1"/>
      <w:numFmt w:val="lowerRoman"/>
      <w:lvlText w:val="%3."/>
      <w:lvlJc w:val="right"/>
      <w:pPr>
        <w:ind w:left="2160" w:hanging="360"/>
      </w:pPr>
    </w:lvl>
    <w:lvl w:ilvl="3" w:tplc="1976125E" w:tentative="1">
      <w:start w:val="1"/>
      <w:numFmt w:val="decimal"/>
      <w:lvlText w:val="%4."/>
      <w:lvlJc w:val="left"/>
      <w:pPr>
        <w:ind w:left="2880" w:hanging="360"/>
      </w:pPr>
    </w:lvl>
    <w:lvl w:ilvl="4" w:tplc="0CD6B538" w:tentative="1">
      <w:start w:val="1"/>
      <w:numFmt w:val="lowerLetter"/>
      <w:lvlText w:val="%5."/>
      <w:lvlJc w:val="left"/>
      <w:pPr>
        <w:ind w:left="3600" w:hanging="360"/>
      </w:pPr>
    </w:lvl>
    <w:lvl w:ilvl="5" w:tplc="A3C2DF46" w:tentative="1">
      <w:start w:val="1"/>
      <w:numFmt w:val="lowerRoman"/>
      <w:lvlText w:val="%6."/>
      <w:lvlJc w:val="right"/>
      <w:pPr>
        <w:ind w:left="4320" w:hanging="360"/>
      </w:pPr>
    </w:lvl>
    <w:lvl w:ilvl="6" w:tplc="34EA5F22" w:tentative="1">
      <w:start w:val="1"/>
      <w:numFmt w:val="decimal"/>
      <w:lvlText w:val="%7."/>
      <w:lvlJc w:val="left"/>
      <w:pPr>
        <w:ind w:left="5040" w:hanging="360"/>
      </w:pPr>
    </w:lvl>
    <w:lvl w:ilvl="7" w:tplc="0C44CD50" w:tentative="1">
      <w:start w:val="1"/>
      <w:numFmt w:val="lowerLetter"/>
      <w:lvlText w:val="%8."/>
      <w:lvlJc w:val="left"/>
      <w:pPr>
        <w:ind w:left="5760" w:hanging="360"/>
      </w:pPr>
    </w:lvl>
    <w:lvl w:ilvl="8" w:tplc="F5B4A32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45C40"/>
    <w:rsid w:val="000B30CB"/>
    <w:rsid w:val="00144507"/>
    <w:rsid w:val="00204230"/>
    <w:rsid w:val="0026090A"/>
    <w:rsid w:val="00545C40"/>
    <w:rsid w:val="005803F5"/>
    <w:rsid w:val="005C2EA9"/>
    <w:rsid w:val="005D09E5"/>
    <w:rsid w:val="00671BDC"/>
    <w:rsid w:val="00672C2D"/>
    <w:rsid w:val="006E40D2"/>
    <w:rsid w:val="006F06E2"/>
    <w:rsid w:val="007E634C"/>
    <w:rsid w:val="007E6E8D"/>
    <w:rsid w:val="008B6F81"/>
    <w:rsid w:val="00AE5545"/>
    <w:rsid w:val="00B2676E"/>
    <w:rsid w:val="00B5347C"/>
    <w:rsid w:val="00B839C4"/>
    <w:rsid w:val="00BA1A07"/>
    <w:rsid w:val="00BF0465"/>
    <w:rsid w:val="00D066CA"/>
    <w:rsid w:val="00E07D06"/>
    <w:rsid w:val="00E77AAE"/>
    <w:rsid w:val="00EE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45C4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545C4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545C40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545C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545C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545C4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545C4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545C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545C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545C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545C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545C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45C4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45C4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45C4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45C4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545C40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545C40"/>
    <w:rPr>
      <w:i/>
      <w:iCs/>
    </w:rPr>
  </w:style>
  <w:style w:type="character" w:styleId="aa">
    <w:name w:val="Intense Emphasis"/>
    <w:basedOn w:val="a0"/>
    <w:uiPriority w:val="21"/>
    <w:qFormat/>
    <w:rsid w:val="00545C40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545C40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545C4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45C4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45C4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45C4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545C40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545C40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45C40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545C40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545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545C40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545C40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545C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545C40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545C40"/>
    <w:rPr>
      <w:vertAlign w:val="superscript"/>
    </w:rPr>
  </w:style>
  <w:style w:type="character" w:styleId="af2">
    <w:name w:val="Hyperlink"/>
    <w:basedOn w:val="a0"/>
    <w:uiPriority w:val="99"/>
    <w:unhideWhenUsed/>
    <w:rsid w:val="00545C4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545C40"/>
    <w:rPr>
      <w:color w:val="954F72" w:themeColor="followed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545C4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545C40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545C40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45C40"/>
  </w:style>
  <w:style w:type="paragraph" w:customStyle="1" w:styleId="Footer">
    <w:name w:val="Footer"/>
    <w:basedOn w:val="a"/>
    <w:link w:val="FooterChar"/>
    <w:uiPriority w:val="99"/>
    <w:unhideWhenUsed/>
    <w:rsid w:val="00545C40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45C40"/>
  </w:style>
  <w:style w:type="paragraph" w:customStyle="1" w:styleId="Caption">
    <w:name w:val="Caption"/>
    <w:basedOn w:val="a"/>
    <w:next w:val="a"/>
    <w:uiPriority w:val="35"/>
    <w:unhideWhenUsed/>
    <w:qFormat/>
    <w:rsid w:val="00545C40"/>
    <w:pPr>
      <w:spacing w:line="240" w:lineRule="auto"/>
    </w:pPr>
    <w:rPr>
      <w:i/>
      <w:iCs/>
      <w:color w:val="44546A" w:themeColor="text2"/>
      <w:sz w:val="18"/>
      <w:szCs w:val="18"/>
    </w:rPr>
  </w:style>
  <w:style w:type="table" w:styleId="af6">
    <w:name w:val="Table Grid"/>
    <w:basedOn w:val="a1"/>
    <w:uiPriority w:val="59"/>
    <w:rsid w:val="0054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fkgs-offer/)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Базаревич</cp:lastModifiedBy>
  <cp:revision>23</cp:revision>
  <cp:lastPrinted>2026-03-27T11:04:00Z</cp:lastPrinted>
  <dcterms:created xsi:type="dcterms:W3CDTF">2026-03-27T06:13:00Z</dcterms:created>
  <dcterms:modified xsi:type="dcterms:W3CDTF">2026-03-27T11:08:00Z</dcterms:modified>
</cp:coreProperties>
</file>