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3645"/>
        <w:gridCol w:w="4005"/>
        <w:gridCol w:w="1425"/>
      </w:tblGrid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5" w:type="dxa"/>
            <w:vMerge w:val="restart"/>
            <w:textDirection w:val="lrTb"/>
            <w:noWrap w:val="false"/>
          </w:tcPr>
          <w:p>
            <w:r>
              <w:t xml:space="preserve">Количество обращений, поступивших в администрацию Грайворонского городского округа за апрель 2022 года</w:t>
            </w:r>
            <w:r/>
            <w:r/>
          </w:p>
        </w:tc>
      </w:tr>
      <w:tr>
        <w:trPr>
          <w:trHeight w:val="46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630"/>
        </w:trPr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50" w:type="dxa"/>
            <w:textDirection w:val="lrTb"/>
            <w:noWrap w:val="false"/>
          </w:tcPr>
          <w:p>
            <w:r>
              <w:t xml:space="preserve">Поступило за предыдущий отчетный месяц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40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restart"/>
            <w:textDirection w:val="lrTb"/>
            <w:noWrap w:val="false"/>
          </w:tcPr>
          <w:p>
            <w:r>
              <w:t xml:space="preserve">Поступило обращений в орган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всего 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34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письменных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</w:tr>
      <w:tr>
        <w:trPr>
          <w:trHeight w:val="6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в форме электронного документа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13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устных (личный прием)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заявлений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32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жалоб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предложений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из иных органов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25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от заявителя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9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restart"/>
            <w:textDirection w:val="lrTb"/>
            <w:noWrap w:val="false"/>
          </w:tcPr>
          <w:p>
            <w:r>
              <w:t xml:space="preserve">Рассмотрено  в органе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всего 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12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из них взято на контроль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6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50" w:type="dxa"/>
            <w:textDirection w:val="lrTb"/>
            <w:noWrap w:val="false"/>
          </w:tcPr>
          <w:p>
            <w:r>
              <w:t xml:space="preserve">Направлено на рассмотрение  в иные органы(всего):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restart"/>
            <w:textDirection w:val="lrTb"/>
            <w:noWrap w:val="false"/>
          </w:tcPr>
          <w:p>
            <w:r>
              <w:t xml:space="preserve">Результаты рассмотрения обращений  за отчетный апрель 2022 года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поддержано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в том числе меры приняты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разъяснено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9</w:t>
            </w:r>
            <w:r/>
            <w:r/>
          </w:p>
        </w:tc>
      </w:tr>
      <w:tr>
        <w:trPr>
          <w:trHeight w:val="11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не поддержано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2022-04-29T12:29:04Z</dcterms:modified>
</cp:coreProperties>
</file>