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8F2047" wp14:editId="36D60907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2053" w:rsidRPr="00F72053" w:rsidRDefault="00F72053" w:rsidP="00F72053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КРАТКИЕ ИТОГИ СОЦИАЛЬНО-ЭКОНОМИЧЕСКОГО ПОЛОЖЕНИЯ БЕЛГОРОДСКОЙ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в январе</w:t>
      </w:r>
      <w:r w:rsidR="008676F1" w:rsidRPr="008676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8676F1" w:rsidRPr="008676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676F1">
        <w:rPr>
          <w:rFonts w:ascii="Arial" w:hAnsi="Arial" w:cs="Arial"/>
          <w:b/>
          <w:color w:val="000000" w:themeColor="text1"/>
          <w:sz w:val="24"/>
          <w:szCs w:val="24"/>
        </w:rPr>
        <w:t>сентябре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 xml:space="preserve"> 2022 года</w:t>
      </w:r>
    </w:p>
    <w:p w:rsidR="008676F1" w:rsidRPr="00C76595" w:rsidRDefault="008676F1" w:rsidP="00C765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sz w:val="27"/>
          <w:szCs w:val="27"/>
        </w:rPr>
        <w:t xml:space="preserve">По данным </w:t>
      </w:r>
      <w:proofErr w:type="spellStart"/>
      <w:r w:rsidRPr="00C76595">
        <w:rPr>
          <w:rFonts w:ascii="Times New Roman" w:hAnsi="Times New Roman" w:cs="Times New Roman"/>
          <w:sz w:val="27"/>
          <w:szCs w:val="27"/>
        </w:rPr>
        <w:t>Белгородстата</w:t>
      </w:r>
      <w:proofErr w:type="spellEnd"/>
      <w:r w:rsidRPr="00C76595">
        <w:rPr>
          <w:rFonts w:ascii="Times New Roman" w:hAnsi="Times New Roman" w:cs="Times New Roman"/>
          <w:sz w:val="27"/>
          <w:szCs w:val="27"/>
        </w:rPr>
        <w:t xml:space="preserve"> индекс промышленного производства</w:t>
      </w:r>
      <w:r w:rsidRPr="00C7659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76595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в </w:t>
      </w:r>
      <w:proofErr w:type="gramStart"/>
      <w:r w:rsidRPr="00C76595">
        <w:rPr>
          <w:rFonts w:ascii="Times New Roman" w:hAnsi="Times New Roman" w:cs="Times New Roman"/>
          <w:sz w:val="27"/>
          <w:szCs w:val="27"/>
          <w:lang w:eastAsia="x-none"/>
        </w:rPr>
        <w:t>январе-сентябре</w:t>
      </w:r>
      <w:proofErr w:type="gramEnd"/>
      <w:r w:rsidRPr="00C76595">
        <w:rPr>
          <w:rFonts w:ascii="Times New Roman" w:hAnsi="Times New Roman" w:cs="Times New Roman"/>
          <w:sz w:val="27"/>
          <w:szCs w:val="27"/>
          <w:lang w:eastAsia="x-none"/>
        </w:rPr>
        <w:t xml:space="preserve"> </w:t>
      </w:r>
      <w:r w:rsidRPr="00C76595">
        <w:rPr>
          <w:rFonts w:ascii="Times New Roman" w:hAnsi="Times New Roman" w:cs="Times New Roman"/>
          <w:sz w:val="27"/>
          <w:szCs w:val="27"/>
          <w:lang w:val="x-none" w:eastAsia="x-none"/>
        </w:rPr>
        <w:t>2022 год</w:t>
      </w:r>
      <w:r w:rsidRPr="00C76595">
        <w:rPr>
          <w:rFonts w:ascii="Times New Roman" w:hAnsi="Times New Roman" w:cs="Times New Roman"/>
          <w:sz w:val="27"/>
          <w:szCs w:val="27"/>
          <w:lang w:eastAsia="x-none"/>
        </w:rPr>
        <w:t>а</w:t>
      </w:r>
      <w:r w:rsidRPr="00C76595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по сравнению с </w:t>
      </w:r>
      <w:r w:rsidRPr="00C76595">
        <w:rPr>
          <w:rFonts w:ascii="Times New Roman" w:hAnsi="Times New Roman" w:cs="Times New Roman"/>
          <w:sz w:val="27"/>
          <w:szCs w:val="27"/>
          <w:lang w:eastAsia="x-none"/>
        </w:rPr>
        <w:t xml:space="preserve">январем-сентябрем </w:t>
      </w:r>
      <w:r w:rsidRPr="00C76595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2021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год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а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составил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101,6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%.</w:t>
      </w:r>
    </w:p>
    <w:p w:rsidR="008676F1" w:rsidRPr="00C76595" w:rsidRDefault="008676F1" w:rsidP="00C765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x-none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По виду экономической деятельности "Добыча полезных ископаемых" индекс производства в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январе-сентябре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2022 год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а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по сравнению с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январем-</w:t>
      </w:r>
      <w:r w:rsidRPr="00C76595">
        <w:rPr>
          <w:rFonts w:ascii="Times New Roman" w:hAnsi="Times New Roman" w:cs="Times New Roman"/>
          <w:sz w:val="27"/>
          <w:szCs w:val="27"/>
          <w:lang w:eastAsia="x-none"/>
        </w:rPr>
        <w:t xml:space="preserve"> сентябрем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2021 год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а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составил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96,6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%, "Обрабатывающие производства" –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104,2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%, "Обеспечение электрической энергией, газом и паром; кондиционирование воздуха" –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 97,6%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, "Водоснабжение; водоотведение, организация сбора и утилизаци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и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отходов, деятельность по ликвидации загрязнений"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 </w:t>
      </w:r>
      <w:r w:rsidRPr="00C76595">
        <w:rPr>
          <w:rFonts w:ascii="Times New Roman" w:hAnsi="Times New Roman" w:cs="Times New Roman"/>
          <w:bCs/>
          <w:color w:val="000000"/>
          <w:sz w:val="27"/>
          <w:szCs w:val="27"/>
          <w:lang w:val="x-none" w:eastAsia="x-none"/>
        </w:rPr>
        <w:t>–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88,4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%.</w:t>
      </w:r>
    </w:p>
    <w:p w:rsidR="008676F1" w:rsidRPr="00C76595" w:rsidRDefault="008676F1" w:rsidP="00C765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x-none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По расчетам, в январе-сентябре 2022 года всеми </w:t>
      </w:r>
      <w:proofErr w:type="spell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сельхозтоваропроизводителями</w:t>
      </w:r>
      <w:proofErr w:type="spell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сельхозорганизации</w:t>
      </w:r>
      <w:proofErr w:type="spell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, хозяйства населения, крестьянские (фермерские) хозяйства и индивидуальные предприниматели) произведено скота и птицы на убой (в живом весе) 1301,7 тыс. тонн (99,3% к январю-сентябрю 2021 года), молока – 544,2 тыс. тонн (102,9%), яиц – 1232,4 </w:t>
      </w:r>
      <w:proofErr w:type="gram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млн</w:t>
      </w:r>
      <w:proofErr w:type="gram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штук (101,1%).</w:t>
      </w:r>
    </w:p>
    <w:p w:rsidR="008676F1" w:rsidRPr="00C76595" w:rsidRDefault="008676F1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>В январе-сентябре 2022 года сдано в эксплуатацию 642,6 тыс. м</w:t>
      </w:r>
      <w:proofErr w:type="gramStart"/>
      <w:r w:rsidRPr="00C7659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C7659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>жилья, или 84,7% к уровню января-сентября 2021 года. Населением построено 505,7 тыс. м</w:t>
      </w:r>
      <w:proofErr w:type="gramStart"/>
      <w:r w:rsidRPr="00C7659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жилья, что составляет 76,6% к уровню ввода января-сентября 2021 года и 78,7% в общем объеме введенного жилья. В сельской местности введены жилые дома общей площадью 319,7 тыс. м</w:t>
      </w:r>
      <w:proofErr w:type="gramStart"/>
      <w:r w:rsidRPr="00C7659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C76595">
        <w:rPr>
          <w:rFonts w:ascii="Times New Roman" w:hAnsi="Times New Roman" w:cs="Times New Roman"/>
          <w:color w:val="000000"/>
          <w:sz w:val="27"/>
          <w:szCs w:val="27"/>
        </w:rPr>
        <w:t>, что к уровню января-сентября 2021 года составляет 84,7%.</w:t>
      </w:r>
    </w:p>
    <w:p w:rsidR="008676F1" w:rsidRPr="00C76595" w:rsidRDefault="008676F1" w:rsidP="00C76595">
      <w:pPr>
        <w:tabs>
          <w:tab w:val="left" w:pos="6237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Оборот розничной торговли в январе-сентябре 2022 года составил 327,0 </w:t>
      </w:r>
      <w:proofErr w:type="gram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млрд</w:t>
      </w:r>
      <w:proofErr w:type="gram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рублей, что в товарной массе составляет 96,0% к уровню января-сентября 2021 года. Объем платных услуг населению области в январе-сентябре 2022 года составил 76,4 </w:t>
      </w:r>
      <w:proofErr w:type="gram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млрд</w:t>
      </w:r>
      <w:proofErr w:type="gram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рублей, что в сопоставимых ценах на 1,9% больше, чем в январе-сентябре предыдущего года.</w:t>
      </w:r>
    </w:p>
    <w:p w:rsidR="008676F1" w:rsidRPr="00C76595" w:rsidRDefault="008676F1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x-none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Финансовое положение организаций области в январе-августе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некредитных</w:t>
      </w:r>
      <w:proofErr w:type="spell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финансовых организаций) составил 204,0 </w:t>
      </w:r>
      <w:proofErr w:type="gram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млрд</w:t>
      </w:r>
      <w:proofErr w:type="gram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рублей. Прибыль показали 76,6% организаций области.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Среднемесячная номинальная начисленная заработная плата (по полному кругу организаций, без выплат социального характера) в январе-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августе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2022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г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ода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составила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46180,9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рубл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я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и по сравнению с январем-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августом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2021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 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г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ода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 увеличилась на 1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5,4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%.</w:t>
      </w:r>
      <w:r w:rsidRPr="00C7659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Размер реальной начисленной среднемесячной заработной платы (рост заработной платы, скорректированный с учетом изменения сводного индекса потребительских цен) в январе-августе 2022 года по сравнению с январем-августом 2021 года увеличился на 0,2%.</w:t>
      </w:r>
    </w:p>
    <w:p w:rsidR="006B35C7" w:rsidRPr="00C76595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x-none"/>
        </w:rPr>
      </w:pPr>
      <w:bookmarkStart w:id="0" w:name="_GoBack"/>
    </w:p>
    <w:bookmarkEnd w:id="0"/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676F1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76595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1544-AC4C-4FE0-8C48-63AC65A8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3</cp:revision>
  <cp:lastPrinted>2022-02-18T13:07:00Z</cp:lastPrinted>
  <dcterms:created xsi:type="dcterms:W3CDTF">2022-11-07T14:39:00Z</dcterms:created>
  <dcterms:modified xsi:type="dcterms:W3CDTF">2022-11-07T14:44:00Z</dcterms:modified>
</cp:coreProperties>
</file>