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24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373A3C"/>
          <w:sz w:val="24"/>
        </w:rPr>
        <w:t xml:space="preserve">Реестр инвестиционных площадок Грайворонского городского округа по состоянию на 01.01.2020 года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17"/>
        <w:gridCol w:w="2521"/>
        <w:gridCol w:w="2388"/>
        <w:gridCol w:w="1274"/>
        <w:gridCol w:w="2654"/>
      </w:tblGrid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373A3C"/>
                <w:sz w:val="24"/>
              </w:rPr>
              <w:t xml:space="preserve">№ п/п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2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373A3C"/>
                <w:sz w:val="24"/>
              </w:rPr>
              <w:t xml:space="preserve">Место расположения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373A3C"/>
                <w:sz w:val="24"/>
              </w:rPr>
              <w:t xml:space="preserve">Кадастровый номер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7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373A3C"/>
                <w:sz w:val="24"/>
              </w:rPr>
              <w:t xml:space="preserve">Площадь, га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373A3C"/>
                <w:sz w:val="24"/>
              </w:rPr>
              <w:t xml:space="preserve">Примечание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2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с.Головчино, территория бывшего лагеря "Светлячок"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31:13:1101016:136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7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5,0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Зона рекреации; 3D модеоирование и робототехника с обучением и производством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2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с.Головчино, ул. Пушкина,21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31:13:1101010:205 31:13:1101010:477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7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4,5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Автостоянка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2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г. Грайворон, ул. Тарана,1-А, площадка бывшего сыр. завода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31:13:1101001:29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7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3,5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Ведется процедура банкротства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2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с. Луговка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31:13:1101005:58 31:13:1101005:59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7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14,0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24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373A3C"/>
                <w:sz w:val="24"/>
              </w:rPr>
              <w:t xml:space="preserve">Сельскохозяйственное производство</w:t>
            </w:r>
            <w:r/>
          </w:p>
        </w:tc>
      </w:tr>
    </w:tbl>
    <w:p>
      <w:pPr>
        <w:ind w:left="0" w:right="0" w:firstLine="0"/>
        <w:spacing w:after="24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2022-08-09T13:40:10Z</dcterms:modified>
</cp:coreProperties>
</file>