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A2" w:rsidRDefault="0080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ИНВЕСТИЦИОННЫЙ ПАСПОРТ </w:t>
      </w:r>
    </w:p>
    <w:p w:rsidR="004A6EA2" w:rsidRDefault="0080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ГРАЙВОРОНСКОГО ГОРОДСКОГО ОКРУГА</w:t>
      </w:r>
    </w:p>
    <w:p w:rsidR="004A6EA2" w:rsidRDefault="0080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4A6EA2" w:rsidRDefault="004A6EA2">
      <w:pPr>
        <w:jc w:val="center"/>
        <w:rPr>
          <w:b/>
          <w:sz w:val="28"/>
          <w:szCs w:val="28"/>
        </w:rPr>
      </w:pPr>
    </w:p>
    <w:p w:rsidR="004A6EA2" w:rsidRDefault="0080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Инвестиционное послание </w:t>
      </w:r>
    </w:p>
    <w:p w:rsidR="004A6EA2" w:rsidRDefault="0080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Грайворонского городского округа</w:t>
      </w:r>
    </w:p>
    <w:p w:rsidR="004A6EA2" w:rsidRDefault="008022CC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Рад приветствовать Вас от имени администрации Грайворонского городского округа на страницах информационного проекта «Инвестиционный паспорт Грайворонского городского округа».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Надеюсь, что этот проект станет не только полезным источником информации, но и св</w:t>
      </w:r>
      <w:r>
        <w:rPr>
          <w:sz w:val="28"/>
          <w:szCs w:val="28"/>
        </w:rPr>
        <w:t xml:space="preserve">оеобразным путеводителем для деловых предприимчивых людей, потенциальных инвесторов, которых наш округ                    с радостью встретит с любыми смелыми, интересными проектами.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Грайворонский </w:t>
      </w:r>
      <w:proofErr w:type="gramStart"/>
      <w:r>
        <w:rPr>
          <w:bCs/>
          <w:iCs/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 представляет собой административную едини</w:t>
      </w:r>
      <w:r>
        <w:rPr>
          <w:sz w:val="28"/>
          <w:szCs w:val="28"/>
        </w:rPr>
        <w:t>цу области с развитым сельскохозяйственным производством, перерабатывающей промышленностью, многопрофильной инфраструктурой, богатыми культурными ценностями.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является город Грайворон – самый небольшой из городов обл</w:t>
      </w:r>
      <w:r>
        <w:rPr>
          <w:sz w:val="28"/>
          <w:szCs w:val="28"/>
        </w:rPr>
        <w:t>асти. Расположен он от областного центра в 79 километрах. Ближайшая железнодорожная станция «</w:t>
      </w:r>
      <w:proofErr w:type="spellStart"/>
      <w:r>
        <w:rPr>
          <w:sz w:val="28"/>
          <w:szCs w:val="28"/>
        </w:rPr>
        <w:t>Хотмыжск</w:t>
      </w:r>
      <w:proofErr w:type="spellEnd"/>
      <w:r>
        <w:rPr>
          <w:sz w:val="28"/>
          <w:szCs w:val="28"/>
        </w:rPr>
        <w:t xml:space="preserve">» расположена от города Грайворона в 15 километрах. Грайворонский </w:t>
      </w:r>
      <w:proofErr w:type="gramStart"/>
      <w:r>
        <w:rPr>
          <w:bCs/>
          <w:iCs/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 пересекают автотрассы, связывающие город Грайворон с городами Белгород, </w:t>
      </w:r>
      <w:r>
        <w:rPr>
          <w:sz w:val="28"/>
          <w:szCs w:val="28"/>
        </w:rPr>
        <w:t xml:space="preserve">Сумы, Ахтырка, Харьков.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национальными целями развития страны                               до 2030 года, важнейшим стратегическим приоритетом администрации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является повышение уровня жизни и благосостояния </w:t>
      </w:r>
      <w:r>
        <w:rPr>
          <w:sz w:val="28"/>
          <w:szCs w:val="28"/>
        </w:rPr>
        <w:t>населения на основе обеспечения устойчивого экономического роста, построения цифровой экономики, совершенствования социальной сферы и развития потенциала муниципального управления.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Грайворонский </w:t>
      </w:r>
      <w:proofErr w:type="gramStart"/>
      <w:r>
        <w:rPr>
          <w:bCs/>
          <w:iCs/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 по своим природно-климатическим условиям, пр</w:t>
      </w:r>
      <w:r>
        <w:rPr>
          <w:sz w:val="28"/>
          <w:szCs w:val="28"/>
        </w:rPr>
        <w:t xml:space="preserve">оизводственному потенциалу, экономико-географическому положению и прочим факторам является достаточно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привлекательным. </w:t>
      </w:r>
      <w:proofErr w:type="gramStart"/>
      <w:r>
        <w:rPr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округе создан благоприятный инвестиционный климат и комфортные условия для работы предпринимателей.</w:t>
      </w:r>
      <w:proofErr w:type="gramEnd"/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</w:t>
      </w:r>
      <w:r>
        <w:rPr>
          <w:sz w:val="28"/>
          <w:szCs w:val="28"/>
        </w:rPr>
        <w:t xml:space="preserve">ыми отраслями по привлечению инвестиций являются: сельское хозяйство, туризм, промышленность. Это те отрасли, на которые опирается экономика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Тактической задачей на сегодня остается постоянный поиск новых инвестиционных проектов. Админист</w:t>
      </w:r>
      <w:r>
        <w:rPr>
          <w:sz w:val="28"/>
          <w:szCs w:val="28"/>
        </w:rPr>
        <w:t xml:space="preserve">рация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заинтересована в проектах, направленных на создание новых высокопроизводительных рабочих мест для наших жителей, обеспечивающих создание конкурентоспособной конечной продукции и, как следствие, формирующих поток новых налоговых пост</w:t>
      </w:r>
      <w:r>
        <w:rPr>
          <w:sz w:val="28"/>
          <w:szCs w:val="28"/>
        </w:rPr>
        <w:t>уплений в бюджет.</w:t>
      </w:r>
    </w:p>
    <w:p w:rsidR="004A6EA2" w:rsidRDefault="008022CC">
      <w:pPr>
        <w:widowControl w:val="0"/>
        <w:shd w:val="clear" w:color="FFFFFF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Сейчас на территории </w:t>
      </w:r>
      <w:r>
        <w:rPr>
          <w:bCs/>
          <w:iCs/>
          <w:sz w:val="28"/>
          <w:szCs w:val="28"/>
          <w:highlight w:val="white"/>
        </w:rPr>
        <w:t>городского</w:t>
      </w:r>
      <w:r>
        <w:rPr>
          <w:sz w:val="28"/>
          <w:szCs w:val="28"/>
          <w:highlight w:val="white"/>
        </w:rPr>
        <w:t xml:space="preserve"> округа реализуется 4 </w:t>
      </w:r>
      <w:proofErr w:type="gramStart"/>
      <w:r>
        <w:rPr>
          <w:sz w:val="28"/>
          <w:szCs w:val="28"/>
          <w:highlight w:val="white"/>
        </w:rPr>
        <w:lastRenderedPageBreak/>
        <w:t>инвестиционных</w:t>
      </w:r>
      <w:proofErr w:type="gramEnd"/>
      <w:r>
        <w:rPr>
          <w:sz w:val="28"/>
          <w:szCs w:val="28"/>
          <w:highlight w:val="white"/>
        </w:rPr>
        <w:t xml:space="preserve"> проекта. При реализации этих инвестиционных проектов будет освоено 53,09 </w:t>
      </w:r>
      <w:proofErr w:type="spellStart"/>
      <w:proofErr w:type="gramStart"/>
      <w:r>
        <w:rPr>
          <w:sz w:val="28"/>
          <w:szCs w:val="28"/>
          <w:highlight w:val="white"/>
        </w:rPr>
        <w:t>млн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рублей.</w:t>
      </w:r>
    </w:p>
    <w:p w:rsidR="004A6EA2" w:rsidRDefault="008022CC">
      <w:pPr>
        <w:widowControl w:val="0"/>
        <w:shd w:val="clear" w:color="FFFFFF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 территории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находится                            3</w:t>
      </w:r>
      <w:r>
        <w:rPr>
          <w:sz w:val="28"/>
          <w:szCs w:val="28"/>
        </w:rPr>
        <w:t xml:space="preserve"> инвестиционные площадки. Эти </w:t>
      </w:r>
      <w:proofErr w:type="gramStart"/>
      <w:r>
        <w:rPr>
          <w:sz w:val="28"/>
          <w:szCs w:val="28"/>
        </w:rPr>
        <w:t>площадки</w:t>
      </w:r>
      <w:proofErr w:type="gramEnd"/>
      <w:r>
        <w:rPr>
          <w:sz w:val="28"/>
          <w:szCs w:val="28"/>
        </w:rPr>
        <w:t xml:space="preserve"> возможно использовать – под промышленное производство, сельскохозяйственное производство, зону рекреации, под автостоянку. Договоренностей о намерении                                          с потенциальными инвестор</w:t>
      </w:r>
      <w:r>
        <w:rPr>
          <w:sz w:val="28"/>
          <w:szCs w:val="28"/>
        </w:rPr>
        <w:t>ами пока отсутствуют.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под индивидуальное жилищное строительство на территории </w:t>
      </w:r>
      <w:r>
        <w:rPr>
          <w:bCs/>
          <w:iCs/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выделяется свыше 30 земельных участков.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максимально открыта, мы готовы обсуждать важные решения с бизнес сообществом и насел</w:t>
      </w:r>
      <w:r>
        <w:rPr>
          <w:sz w:val="28"/>
          <w:szCs w:val="28"/>
        </w:rPr>
        <w:t>ением. Для этого                  у нас создана и работает отраслевая экспертная комиссия (проектный совет) по рассмотрению проектов, который рассматривает все инвестиционные проекты с целью оказания поддержки инвесторам.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задачами инвестиционной</w:t>
      </w:r>
      <w:r>
        <w:rPr>
          <w:sz w:val="28"/>
          <w:szCs w:val="28"/>
        </w:rPr>
        <w:t xml:space="preserve"> политики остаются:</w:t>
      </w:r>
    </w:p>
    <w:p w:rsidR="004A6EA2" w:rsidRDefault="00802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информационной открытости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для инвесторов;</w:t>
      </w:r>
    </w:p>
    <w:p w:rsidR="004A6EA2" w:rsidRDefault="00802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- привлекательной среды;</w:t>
      </w:r>
    </w:p>
    <w:p w:rsidR="004A6EA2" w:rsidRDefault="008022CC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инвестиционного имиджа в привлечении инвестиций и, как следствие, увеличение объема инвестиций в основ</w:t>
      </w:r>
      <w:r>
        <w:rPr>
          <w:sz w:val="28"/>
          <w:szCs w:val="28"/>
        </w:rPr>
        <w:t>ной капитал.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инвестиционной привлекательности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округа, стимулирования инвестиционной деятельности и привлечения новых инвесторов ведется планомерная, поступательная работа по улучшению инвестиционного климата.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открыты для конструктивного диалога с представителями                     бизнес сообщества по всем вопросам, возникающим в процессе осуществления предпринимательской и инвестиционной деятельности, готовы сделать все необходимое, чтобы инвесторы смогли </w:t>
      </w:r>
      <w:r>
        <w:rPr>
          <w:sz w:val="28"/>
          <w:szCs w:val="28"/>
        </w:rPr>
        <w:t>в полной мере реализовать свой потенциал.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Общие сведения о </w:t>
      </w:r>
      <w:proofErr w:type="spellStart"/>
      <w:r>
        <w:rPr>
          <w:b/>
          <w:sz w:val="28"/>
          <w:szCs w:val="28"/>
        </w:rPr>
        <w:t>Грайворонском</w:t>
      </w:r>
      <w:proofErr w:type="spellEnd"/>
      <w:r>
        <w:rPr>
          <w:b/>
          <w:sz w:val="28"/>
          <w:szCs w:val="28"/>
        </w:rPr>
        <w:t xml:space="preserve"> городском округе</w:t>
      </w:r>
    </w:p>
    <w:p w:rsidR="004A6EA2" w:rsidRDefault="008022C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юго-западной части Белгородской области, между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45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и 49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северной широты и 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, 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55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восточной долготы и расположен Грайворонский </w:t>
      </w:r>
      <w:proofErr w:type="gramStart"/>
      <w:r>
        <w:rPr>
          <w:bCs/>
          <w:iCs/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округ. На севере он граничит с </w:t>
      </w:r>
      <w:proofErr w:type="spellStart"/>
      <w:r>
        <w:rPr>
          <w:sz w:val="28"/>
          <w:szCs w:val="28"/>
        </w:rPr>
        <w:t>Краснояружским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Ракитянским</w:t>
      </w:r>
      <w:proofErr w:type="spellEnd"/>
      <w:r>
        <w:rPr>
          <w:sz w:val="28"/>
          <w:szCs w:val="28"/>
        </w:rPr>
        <w:t xml:space="preserve"> районами, на востоке - с Борисовским районом Белгородской области. С южной стороны к нему прилегают </w:t>
      </w:r>
      <w:proofErr w:type="spellStart"/>
      <w:r>
        <w:rPr>
          <w:sz w:val="28"/>
          <w:szCs w:val="28"/>
        </w:rPr>
        <w:t>Золочевский</w:t>
      </w:r>
      <w:proofErr w:type="spellEnd"/>
      <w:r>
        <w:rPr>
          <w:sz w:val="28"/>
          <w:szCs w:val="28"/>
        </w:rPr>
        <w:t xml:space="preserve"> район Харьковской области, а с западной - </w:t>
      </w:r>
      <w:proofErr w:type="gramStart"/>
      <w:r>
        <w:rPr>
          <w:sz w:val="28"/>
          <w:szCs w:val="28"/>
        </w:rPr>
        <w:t>Велико-Писаревский</w:t>
      </w:r>
      <w:proofErr w:type="gramEnd"/>
      <w:r>
        <w:rPr>
          <w:sz w:val="28"/>
          <w:szCs w:val="28"/>
        </w:rPr>
        <w:t xml:space="preserve"> и Краснопольский район</w:t>
      </w:r>
      <w:r>
        <w:rPr>
          <w:sz w:val="28"/>
          <w:szCs w:val="28"/>
        </w:rPr>
        <w:t xml:space="preserve">ы Сумской области Украины.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располагается                           в 2 природных зонах, в связи с этим здесь формируются основные виды почв – серые лесные и черноземные. Причем последние преобладают,            </w:t>
      </w:r>
      <w:r>
        <w:rPr>
          <w:sz w:val="28"/>
          <w:szCs w:val="28"/>
        </w:rPr>
        <w:t xml:space="preserve">                   а содержание гумуса в них составляет 4-9%. Здесь встречаются оподзоленные, выщелоченные и мощные черноземы, являющиеся лучшими пахотно-пригодными землями области.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Реки Грайворонского округа равнинные, большей частью мелководные, имеют м</w:t>
      </w:r>
      <w:r>
        <w:rPr>
          <w:sz w:val="28"/>
          <w:szCs w:val="28"/>
        </w:rPr>
        <w:t>едленное, спокойное течение и отличаются большой извилистостью. Смешанные и сосновые леса, расположенные по берегам, сливаются с водоемами в единый природный комплекс, как нельзя лучше соответствующий спокойному отдыху на лоне природы.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Северо-западная част</w:t>
      </w:r>
      <w:r>
        <w:rPr>
          <w:sz w:val="28"/>
          <w:szCs w:val="28"/>
        </w:rPr>
        <w:t xml:space="preserve">ь территории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относится к лесостепной зоне, а юго-восточная к черноземной степи. Типичной растительностью являются лиственный лес и разновидная степь.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Полезные ископаемые нашего края пока что только начинают исследоваться. </w:t>
      </w:r>
      <w:r>
        <w:rPr>
          <w:sz w:val="28"/>
          <w:szCs w:val="28"/>
        </w:rPr>
        <w:t xml:space="preserve">На глубине 20 и более метров находятся залежи белого мела всевозможной плотности и вязкости. В селе </w:t>
      </w:r>
      <w:proofErr w:type="spellStart"/>
      <w:r>
        <w:rPr>
          <w:sz w:val="28"/>
          <w:szCs w:val="28"/>
        </w:rPr>
        <w:t>Козинка</w:t>
      </w:r>
      <w:proofErr w:type="spellEnd"/>
      <w:r>
        <w:rPr>
          <w:sz w:val="28"/>
          <w:szCs w:val="28"/>
        </w:rPr>
        <w:t xml:space="preserve"> имеются запасы песка, в городе Грайвороне – суглинков, в селе </w:t>
      </w:r>
      <w:proofErr w:type="spellStart"/>
      <w:r>
        <w:rPr>
          <w:sz w:val="28"/>
          <w:szCs w:val="28"/>
        </w:rPr>
        <w:t>Дорогощи</w:t>
      </w:r>
      <w:proofErr w:type="spellEnd"/>
      <w:r>
        <w:rPr>
          <w:sz w:val="28"/>
          <w:szCs w:val="28"/>
        </w:rPr>
        <w:t xml:space="preserve"> – глины, которые используются в производстве гончарных изделий, строительных </w:t>
      </w:r>
      <w:r>
        <w:rPr>
          <w:sz w:val="28"/>
          <w:szCs w:val="28"/>
        </w:rPr>
        <w:t>материалов, кирпича. На этом сырье работает кирпичный завод в селе  Гора-Подол. Главным же богатством края являются плодородные черноземные почвы.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земельная площадь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составляет                   853,8 квадратных километра, из них: па</w:t>
      </w:r>
      <w:r>
        <w:rPr>
          <w:sz w:val="28"/>
          <w:szCs w:val="28"/>
        </w:rPr>
        <w:t xml:space="preserve">шни – 543,4 квадратных километра, леса – 104,3 квадратных километра, водных ресурсов – 11,6 квадратных километра. В 40 населенных пунктах городского округа проживает                        26,0 тысяч человек, из них в городе Грайворон – 5,8 тысяч человек. </w:t>
      </w:r>
      <w:r>
        <w:rPr>
          <w:sz w:val="28"/>
          <w:szCs w:val="28"/>
        </w:rPr>
        <w:t>Плотность населения – 30,5 человек на 1 квадратный километр.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Историческое прошлое Грайворонского края уходит своими корнями вглубь веков. Первое упоминание о Грайвороне относится к 1678 году. Экономическому развитию села </w:t>
      </w:r>
      <w:proofErr w:type="spellStart"/>
      <w:r>
        <w:rPr>
          <w:sz w:val="28"/>
          <w:szCs w:val="28"/>
        </w:rPr>
        <w:t>Грайвороны</w:t>
      </w:r>
      <w:proofErr w:type="spellEnd"/>
      <w:r>
        <w:rPr>
          <w:sz w:val="28"/>
          <w:szCs w:val="28"/>
        </w:rPr>
        <w:t xml:space="preserve"> способствовали не только</w:t>
      </w:r>
      <w:r>
        <w:rPr>
          <w:sz w:val="28"/>
          <w:szCs w:val="28"/>
        </w:rPr>
        <w:t xml:space="preserve"> льготы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существования, но и удобное расположение                            на пересечении двух больших столбовых дорог: из Ахтырки в Белгород                       и из Сум в Харьков.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Динамично развиваясь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в 1838 г</w:t>
      </w:r>
      <w:r>
        <w:rPr>
          <w:sz w:val="28"/>
          <w:szCs w:val="28"/>
        </w:rPr>
        <w:t xml:space="preserve">оду Грайворон получает статус города и становится центром уезда, который включает в себя территорию шести современных административных территорий: Грайворонского, Борисовского,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Томаровского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в Белгородской област</w:t>
      </w:r>
      <w:r>
        <w:rPr>
          <w:sz w:val="28"/>
          <w:szCs w:val="28"/>
        </w:rPr>
        <w:t>и, Беловского района в Курской области и часть земель Краснопольского района Сумской области. В таких границах Грайворонский уезд просуществовал до упразднения уездов и губерний в 1928 году. Сначала Грайворонский район входил                         в сост</w:t>
      </w:r>
      <w:r>
        <w:rPr>
          <w:sz w:val="28"/>
          <w:szCs w:val="28"/>
        </w:rPr>
        <w:t>ав Курской, а с 1954 года - вновь сформированной Белгородской области.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укрупнения районов в 1964 году район был присоединен                      к Борисовскому, в составе которого находился двадцать пять лет,                                  до 19</w:t>
      </w:r>
      <w:r>
        <w:rPr>
          <w:sz w:val="28"/>
          <w:szCs w:val="28"/>
        </w:rPr>
        <w:t xml:space="preserve">89 года. С 1989 года возрожден как административный центр в прежних границах. С 2018 года Грайворонский район переименован в городской округ. 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Краткая информация о социально-экономическом развитии Грайворонского городского округа</w:t>
      </w:r>
    </w:p>
    <w:p w:rsidR="004A6EA2" w:rsidRDefault="004A6EA2">
      <w:pPr>
        <w:jc w:val="both"/>
        <w:rPr>
          <w:b/>
          <w:sz w:val="28"/>
          <w:szCs w:val="28"/>
        </w:rPr>
      </w:pPr>
    </w:p>
    <w:tbl>
      <w:tblPr>
        <w:tblW w:w="9375" w:type="dxa"/>
        <w:tblInd w:w="93" w:type="dxa"/>
        <w:tblLook w:val="04A0"/>
      </w:tblPr>
      <w:tblGrid>
        <w:gridCol w:w="617"/>
        <w:gridCol w:w="3667"/>
        <w:gridCol w:w="1235"/>
        <w:gridCol w:w="1126"/>
        <w:gridCol w:w="1126"/>
        <w:gridCol w:w="1604"/>
      </w:tblGrid>
      <w:tr w:rsidR="004A6EA2">
        <w:trPr>
          <w:trHeight w:val="727"/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измер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 2022г.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 2023г.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 роста 2023г. к 2022г.,%%</w:t>
            </w:r>
          </w:p>
        </w:tc>
      </w:tr>
      <w:tr w:rsidR="004A6EA2">
        <w:trPr>
          <w:trHeight w:val="13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промышленному производству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1599,6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1708,9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106,8</w:t>
            </w:r>
          </w:p>
        </w:tc>
      </w:tr>
      <w:tr w:rsidR="004A6EA2">
        <w:trPr>
          <w:trHeight w:val="315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</w:rPr>
            </w:pP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</w:rPr>
            </w:pPr>
          </w:p>
        </w:tc>
      </w:tr>
      <w:tr w:rsidR="004A6EA2">
        <w:trPr>
          <w:trHeight w:val="660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1494,8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1570,7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105,1</w:t>
            </w:r>
          </w:p>
        </w:tc>
      </w:tr>
      <w:tr w:rsidR="004A6EA2">
        <w:trPr>
          <w:trHeight w:val="765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2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100,4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124,1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123,6</w:t>
            </w:r>
          </w:p>
        </w:tc>
      </w:tr>
      <w:tr w:rsidR="004A6EA2">
        <w:trPr>
          <w:trHeight w:val="765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водоснабжение; водоотведение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85,6</w:t>
            </w:r>
          </w:p>
        </w:tc>
      </w:tr>
      <w:tr w:rsidR="004A6EA2">
        <w:trPr>
          <w:trHeight w:val="1024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производства </w:t>
            </w:r>
            <w:r>
              <w:rPr>
                <w:sz w:val="28"/>
                <w:szCs w:val="28"/>
              </w:rPr>
              <w:t xml:space="preserve">продукции сельского хозяйства 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10599,7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10068,3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</w:tr>
      <w:tr w:rsidR="004A6EA2">
        <w:trPr>
          <w:trHeight w:val="1005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3510,5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1242,0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35,4</w:t>
            </w:r>
          </w:p>
        </w:tc>
      </w:tr>
      <w:tr w:rsidR="004A6EA2">
        <w:trPr>
          <w:trHeight w:val="677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выполненных работ по виду экономической деятельности «Строительство»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538,0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373,4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</w:tr>
      <w:tr w:rsidR="004A6EA2">
        <w:trPr>
          <w:trHeight w:val="1080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11475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11878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103,5</w:t>
            </w:r>
          </w:p>
        </w:tc>
      </w:tr>
      <w:tr w:rsidR="004A6EA2">
        <w:trPr>
          <w:trHeight w:val="1275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6693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6162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92,1</w:t>
            </w:r>
          </w:p>
        </w:tc>
      </w:tr>
      <w:tr w:rsidR="004A6EA2">
        <w:trPr>
          <w:trHeight w:val="1275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номинальная начисленная заработная плата работников (по полному </w:t>
            </w:r>
            <w:r>
              <w:rPr>
                <w:sz w:val="28"/>
                <w:szCs w:val="28"/>
              </w:rPr>
              <w:lastRenderedPageBreak/>
              <w:t>кругу организаций)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35867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41993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117,1</w:t>
            </w:r>
          </w:p>
        </w:tc>
      </w:tr>
      <w:tr w:rsidR="004A6EA2">
        <w:trPr>
          <w:trHeight w:val="750"/>
        </w:trPr>
        <w:tc>
          <w:tcPr>
            <w:tcW w:w="61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05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3646,9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1096,8</w:t>
            </w:r>
          </w:p>
        </w:tc>
        <w:tc>
          <w:tcPr>
            <w:tcW w:w="12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30,1</w:t>
            </w:r>
          </w:p>
        </w:tc>
      </w:tr>
    </w:tbl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Транспортная инфраструктура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 является важнейшей составной частью производственной                  и социальной инфраструктуры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округа.                          На территории городского округа сложилась достаточно плотная автомобильная транспортная сеть. </w:t>
      </w:r>
      <w:proofErr w:type="gramStart"/>
      <w:r>
        <w:rPr>
          <w:sz w:val="28"/>
          <w:szCs w:val="28"/>
        </w:rPr>
        <w:t>Чере</w:t>
      </w:r>
      <w:r>
        <w:rPr>
          <w:sz w:val="28"/>
          <w:szCs w:val="28"/>
        </w:rPr>
        <w:t xml:space="preserve">з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 проходят автомобильные дороги регионального значения «Белгород-Грайворон-граница Украины» и «</w:t>
      </w:r>
      <w:proofErr w:type="spellStart"/>
      <w:r>
        <w:rPr>
          <w:sz w:val="28"/>
          <w:szCs w:val="28"/>
        </w:rPr>
        <w:t>Грайворон-Илек-Пеньковка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По ним осуществляются местные, межрегиональные и международные транспортные перевозки.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дорог </w:t>
      </w:r>
      <w:r>
        <w:rPr>
          <w:bCs/>
          <w:iCs/>
          <w:sz w:val="28"/>
          <w:szCs w:val="28"/>
        </w:rPr>
        <w:t>городског</w:t>
      </w:r>
      <w:r>
        <w:rPr>
          <w:bCs/>
          <w:iCs/>
          <w:sz w:val="28"/>
          <w:szCs w:val="28"/>
        </w:rPr>
        <w:t xml:space="preserve">о </w:t>
      </w:r>
      <w:r>
        <w:rPr>
          <w:sz w:val="28"/>
          <w:szCs w:val="28"/>
        </w:rPr>
        <w:t xml:space="preserve">округа составляет 537,274 км, в том числе протяженность автодорог областного значения – 207,9 км, улично-дорожной сети – 329,374 км. Пассажирские перевозки на территории городского округа осуществляются автомобильным транспортом. </w:t>
      </w:r>
      <w:proofErr w:type="gramStart"/>
      <w:r>
        <w:rPr>
          <w:sz w:val="28"/>
          <w:szCs w:val="28"/>
        </w:rPr>
        <w:t>Основным предприятием, о</w:t>
      </w:r>
      <w:r>
        <w:rPr>
          <w:sz w:val="28"/>
          <w:szCs w:val="28"/>
        </w:rPr>
        <w:t>существляющим свою деятельность в сфере предоставления транспортных услуг является</w:t>
      </w:r>
      <w:proofErr w:type="gram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Грайворонское</w:t>
      </w:r>
      <w:proofErr w:type="spellEnd"/>
      <w:r>
        <w:rPr>
          <w:sz w:val="28"/>
          <w:szCs w:val="28"/>
        </w:rPr>
        <w:t xml:space="preserve"> транспортное предприятие», которое обслуживает 12 маршрутов - 1 междугородний (Грайворон-Белгород)                        и 11 пригородных (сельских) марш</w:t>
      </w:r>
      <w:r>
        <w:rPr>
          <w:sz w:val="28"/>
          <w:szCs w:val="28"/>
        </w:rPr>
        <w:t xml:space="preserve">рутов.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населенные пункты связаны с городским центром автомобильными дорогами с твердым покрытием. Схема транспортного обслуживания населения автобусами общего пользования на пригородных маршрутах охватывает все населенные пункты городского округа. 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Инженерная инфраструктура. Телекоммуникации и связь</w:t>
      </w:r>
    </w:p>
    <w:p w:rsidR="004A6EA2" w:rsidRDefault="004A6EA2">
      <w:pPr>
        <w:jc w:val="both"/>
        <w:rPr>
          <w:b/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Электроснабжение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высоковольтных линий составляет 510,9 км. Протяженность не высоковольтных линий составляет 450,6 км. Среднегодовое потребление электроэнергии по городскому округу -</w:t>
      </w:r>
      <w:r>
        <w:rPr>
          <w:sz w:val="28"/>
          <w:szCs w:val="28"/>
        </w:rPr>
        <w:t xml:space="preserve"> 60000 тыс. кВт. Количество трансформаторных и распределительных подстанций – 313 единиц. 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Теплоснабжение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имеется 66 котельных работающих на природном газе. Протяженность тепловых сетей в 2-х трубном </w:t>
      </w:r>
      <w:r>
        <w:rPr>
          <w:sz w:val="28"/>
          <w:szCs w:val="28"/>
        </w:rPr>
        <w:lastRenderedPageBreak/>
        <w:t>исполнении составл</w:t>
      </w:r>
      <w:r>
        <w:rPr>
          <w:sz w:val="28"/>
          <w:szCs w:val="28"/>
        </w:rPr>
        <w:t xml:space="preserve">яет 12,5 км. Протяженность ГВС в 2-х трубном исполнении 1,55 км. Отпуск тепловой энергии за год составляет                               от 30 до 50 тыс. Гкал. 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</w:rPr>
        <w:t>5</w:t>
      </w:r>
      <w:r>
        <w:rPr>
          <w:b/>
          <w:sz w:val="28"/>
          <w:szCs w:val="28"/>
        </w:rPr>
        <w:t xml:space="preserve">.3. Газоснабжение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Протяженность надземных сетей газоснабжения - 287078 м. Протяженность подз</w:t>
      </w:r>
      <w:r>
        <w:rPr>
          <w:sz w:val="28"/>
          <w:szCs w:val="28"/>
        </w:rPr>
        <w:t>емных сетей - 396496 м. Количество газораспределительных станций АГРС-2 шт.: АГРС с. Головчино, свободная мощность – 11,4 тыс. м³/ч., АГРС с. Ивановская Лисица, свободная мощность – 12 тыс. м³/ч., ГРП-20 шт., ШРП-115 шт., ГРУ-1 шт. Объем поставки природног</w:t>
      </w:r>
      <w:r>
        <w:rPr>
          <w:sz w:val="28"/>
          <w:szCs w:val="28"/>
        </w:rPr>
        <w:t xml:space="preserve">о газа в среднем за год составляет 56141 тыс. м³. </w:t>
      </w:r>
      <w:proofErr w:type="gramEnd"/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shd w:val="clear" w:color="FFFFFF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 Водоснабжение и водоотведение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осуществляется от объединенной системы хозяйственно-питьевого водопровода и противопожарных нужд. Система водоснабжения включает в себя артезианские скважи</w:t>
      </w:r>
      <w:r>
        <w:rPr>
          <w:sz w:val="28"/>
          <w:szCs w:val="28"/>
        </w:rPr>
        <w:t>ны, водонапорные башни, пожарные гидранты, водоразборные колонки, водопроводные сети.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Грайворона расположены специализированные водозаборы «Южный», «Северный», 2 станции обезжелезивания. Наружное пожаротушение предусматривается из подземны</w:t>
      </w:r>
      <w:r>
        <w:rPr>
          <w:sz w:val="28"/>
          <w:szCs w:val="28"/>
        </w:rPr>
        <w:t>х пожарных гидрантов, установленных на сетях. Гарантирующим поставщиком услуг по водоснабжению на территории городского округа является</w:t>
      </w:r>
      <w:r>
        <w:rPr>
          <w:spacing w:val="-2"/>
          <w:sz w:val="28"/>
          <w:szCs w:val="28"/>
        </w:rPr>
        <w:t xml:space="preserve">                                      ГУП "</w:t>
      </w:r>
      <w:proofErr w:type="spellStart"/>
      <w:r>
        <w:rPr>
          <w:spacing w:val="-2"/>
          <w:sz w:val="28"/>
          <w:szCs w:val="28"/>
        </w:rPr>
        <w:t>Белводоканал</w:t>
      </w:r>
      <w:proofErr w:type="spellEnd"/>
      <w:r>
        <w:rPr>
          <w:spacing w:val="-2"/>
          <w:sz w:val="28"/>
          <w:szCs w:val="28"/>
        </w:rPr>
        <w:t>" ПП "Грайворонский район" филиал "Западный"</w:t>
      </w:r>
      <w:r>
        <w:rPr>
          <w:sz w:val="28"/>
          <w:szCs w:val="28"/>
        </w:rPr>
        <w:t xml:space="preserve">.                     </w:t>
      </w:r>
      <w:r>
        <w:rPr>
          <w:sz w:val="28"/>
          <w:szCs w:val="28"/>
        </w:rPr>
        <w:t xml:space="preserve"> На территории, не охваченной центральным водоснабжением, население использует воду из открытых источников, индивидуальных скважин и колодцев, расположенных на территории частных домовладений.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shd w:val="clear" w:color="FFFFFF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 Связь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имеет развитую сеть почтовой и теле</w:t>
      </w:r>
      <w:r>
        <w:rPr>
          <w:sz w:val="28"/>
          <w:szCs w:val="28"/>
        </w:rPr>
        <w:t>фонной связи. Услуги электросвязи на территории округа оказывает Белгородский филиал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». Территория городского округа полностью покрыта операторами сотовой связи (МТС, Мегафон,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Теле 2). На территории городского округа установлено 40 у</w:t>
      </w:r>
      <w:r>
        <w:rPr>
          <w:sz w:val="28"/>
          <w:szCs w:val="28"/>
        </w:rPr>
        <w:t xml:space="preserve">ниверсальных таксофонов. Услуги почтовой связи оказывают стационарные отделения связи. 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Кадровый потенциал</w:t>
      </w:r>
    </w:p>
    <w:p w:rsidR="004A6EA2" w:rsidRDefault="00802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Численность населения городского округа занятого в экономике составляет 8,4 тыс. человек, в том числе за пределами городского                   </w:t>
      </w:r>
      <w:r>
        <w:rPr>
          <w:sz w:val="28"/>
          <w:szCs w:val="28"/>
        </w:rPr>
        <w:t xml:space="preserve">   округа – 2,2 тыс. человек. </w:t>
      </w:r>
    </w:p>
    <w:tbl>
      <w:tblPr>
        <w:tblW w:w="9375" w:type="dxa"/>
        <w:tblInd w:w="93" w:type="dxa"/>
        <w:tblLook w:val="04A0"/>
      </w:tblPr>
      <w:tblGrid>
        <w:gridCol w:w="7935"/>
        <w:gridCol w:w="1440"/>
      </w:tblGrid>
      <w:tr w:rsidR="004A6EA2">
        <w:trPr>
          <w:trHeight w:val="495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Распределение </w:t>
            </w:r>
            <w:proofErr w:type="gramStart"/>
            <w:r>
              <w:rPr>
                <w:b/>
                <w:sz w:val="28"/>
                <w:szCs w:val="28"/>
              </w:rPr>
              <w:t>занятых</w:t>
            </w:r>
            <w:proofErr w:type="gramEnd"/>
            <w:r>
              <w:rPr>
                <w:b/>
                <w:sz w:val="28"/>
                <w:szCs w:val="28"/>
              </w:rPr>
              <w:t xml:space="preserve"> в экономике </w:t>
            </w:r>
          </w:p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Грайворонского городского округа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8359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  <w:szCs w:val="28"/>
              </w:rPr>
            </w:pPr>
          </w:p>
        </w:tc>
      </w:tr>
      <w:tr w:rsidR="004A6EA2">
        <w:trPr>
          <w:trHeight w:val="317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4A6EA2">
        <w:trPr>
          <w:trHeight w:val="403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4A6EA2">
        <w:trPr>
          <w:trHeight w:val="322"/>
        </w:trPr>
        <w:tc>
          <w:tcPr>
            <w:tcW w:w="7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4A6EA2">
        <w:trPr>
          <w:trHeight w:val="377"/>
        </w:trPr>
        <w:tc>
          <w:tcPr>
            <w:tcW w:w="7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4A6EA2">
        <w:trPr>
          <w:trHeight w:val="10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Гостиницы и рестораны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деятельность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A6EA2">
        <w:trPr>
          <w:trHeight w:val="54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A6EA2">
        <w:trPr>
          <w:trHeight w:val="428"/>
        </w:trPr>
        <w:tc>
          <w:tcPr>
            <w:tcW w:w="7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  <w:tr w:rsidR="004A6EA2">
        <w:trPr>
          <w:trHeight w:val="76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  <w:tr w:rsidR="004A6EA2">
        <w:trPr>
          <w:trHeight w:val="255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4A6EA2">
        <w:trPr>
          <w:trHeight w:val="367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4A6EA2">
        <w:trPr>
          <w:trHeight w:val="322"/>
        </w:trPr>
        <w:tc>
          <w:tcPr>
            <w:tcW w:w="7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культуры, спорта, организации досуга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4A6EA2">
        <w:trPr>
          <w:trHeight w:val="368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прочих видов экономической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A6EA2" w:rsidRDefault="008022CC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по полному кругу организаций Грайворонского городского округа за 2023 год составила 44756 рублей. </w:t>
      </w:r>
      <w:r>
        <w:rPr>
          <w:sz w:val="28"/>
          <w:szCs w:val="28"/>
          <w:highlight w:val="white"/>
        </w:rPr>
        <w:t xml:space="preserve">Среднегодовой уровень безработицы за 2023 год </w:t>
      </w:r>
      <w:r>
        <w:rPr>
          <w:spacing w:val="-2"/>
          <w:sz w:val="28"/>
          <w:highlight w:val="white"/>
        </w:rPr>
        <w:t>составил 0,39%.</w:t>
      </w:r>
    </w:p>
    <w:p w:rsidR="004A6EA2" w:rsidRDefault="004A6EA2">
      <w:pPr>
        <w:ind w:firstLine="708"/>
        <w:jc w:val="both"/>
        <w:rPr>
          <w:sz w:val="28"/>
          <w:szCs w:val="28"/>
          <w:highlight w:val="white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7. Промышленное производство</w:t>
      </w:r>
    </w:p>
    <w:p w:rsidR="004A6EA2" w:rsidRDefault="008022CC">
      <w:pPr>
        <w:widowControl w:val="0"/>
        <w:ind w:firstLine="720"/>
        <w:jc w:val="both"/>
        <w:rPr>
          <w:highlight w:val="white"/>
        </w:rPr>
      </w:pPr>
      <w:r>
        <w:rPr>
          <w:rStyle w:val="fontstyle11"/>
          <w:rFonts w:ascii="Times New Roman" w:hAnsi="Times New Roman"/>
          <w:sz w:val="28"/>
          <w:szCs w:val="28"/>
          <w:highlight w:val="white"/>
        </w:rPr>
        <w:t xml:space="preserve">Промышленность в </w:t>
      </w:r>
      <w:proofErr w:type="spellStart"/>
      <w:r>
        <w:rPr>
          <w:rStyle w:val="fontstyle11"/>
          <w:rFonts w:ascii="Times New Roman" w:hAnsi="Times New Roman"/>
          <w:sz w:val="28"/>
          <w:szCs w:val="28"/>
          <w:highlight w:val="white"/>
        </w:rPr>
        <w:t>Грайворонском</w:t>
      </w:r>
      <w:proofErr w:type="spellEnd"/>
      <w:r>
        <w:rPr>
          <w:rStyle w:val="fontstyle11"/>
          <w:rFonts w:ascii="Times New Roman" w:hAnsi="Times New Roman"/>
          <w:sz w:val="28"/>
          <w:szCs w:val="28"/>
          <w:highlight w:val="white"/>
        </w:rPr>
        <w:t xml:space="preserve"> городском округе представлена следующими видами экономической деятельности: обрабатывающие производства, </w:t>
      </w:r>
      <w:r>
        <w:rPr>
          <w:sz w:val="28"/>
          <w:szCs w:val="28"/>
          <w:highlight w:val="white"/>
        </w:rPr>
        <w:t xml:space="preserve">предприятия по обеспечению электрической энергией, газом                       </w:t>
      </w:r>
      <w:r>
        <w:rPr>
          <w:sz w:val="28"/>
          <w:szCs w:val="28"/>
          <w:highlight w:val="white"/>
        </w:rPr>
        <w:t>и паром, предприятия по водоснабжению, водоотведению, организации сбора                        и утилизации отходов, деятельность по ликвидации загрязнений.</w:t>
      </w:r>
    </w:p>
    <w:tbl>
      <w:tblPr>
        <w:tblW w:w="9555" w:type="dxa"/>
        <w:tblInd w:w="93" w:type="dxa"/>
        <w:tblLook w:val="04A0"/>
      </w:tblPr>
      <w:tblGrid>
        <w:gridCol w:w="4695"/>
        <w:gridCol w:w="1260"/>
        <w:gridCol w:w="1260"/>
        <w:gridCol w:w="2340"/>
      </w:tblGrid>
      <w:tr w:rsidR="004A6EA2">
        <w:trPr>
          <w:trHeight w:val="255"/>
          <w:tblHeader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Показатели 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2022 год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highlight w:val="white"/>
              </w:rPr>
              <w:t>млн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highlight w:val="white"/>
              </w:rPr>
              <w:t xml:space="preserve">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2023 год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highlight w:val="white"/>
              </w:rPr>
              <w:t>млн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highlight w:val="white"/>
              </w:rPr>
              <w:t xml:space="preserve"> руб.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Темп роста </w:t>
            </w:r>
          </w:p>
          <w:p w:rsidR="004A6EA2" w:rsidRDefault="008022CC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2023 г. к 2022 г. </w:t>
            </w:r>
            <w:proofErr w:type="gramStart"/>
            <w:r>
              <w:rPr>
                <w:b/>
                <w:bCs/>
                <w:sz w:val="28"/>
                <w:szCs w:val="28"/>
                <w:highlight w:val="white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  <w:highlight w:val="white"/>
              </w:rPr>
              <w:t xml:space="preserve"> %%</w:t>
            </w:r>
          </w:p>
        </w:tc>
      </w:tr>
      <w:tr w:rsidR="004A6EA2">
        <w:trPr>
          <w:trHeight w:val="255"/>
        </w:trPr>
        <w:tc>
          <w:tcPr>
            <w:tcW w:w="4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Объем отгруженн</w:t>
            </w:r>
            <w:r>
              <w:rPr>
                <w:sz w:val="28"/>
                <w:szCs w:val="28"/>
                <w:highlight w:val="white"/>
              </w:rPr>
              <w:t xml:space="preserve">ых товаров собственного производства, выполненных работ и услуг </w:t>
            </w:r>
          </w:p>
          <w:p w:rsidR="004A6EA2" w:rsidRDefault="008022CC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собственными силами, всего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1599,6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1708,9</w:t>
            </w:r>
          </w:p>
        </w:tc>
        <w:tc>
          <w:tcPr>
            <w:tcW w:w="23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106,8</w:t>
            </w:r>
          </w:p>
        </w:tc>
      </w:tr>
      <w:tr w:rsidR="004A6EA2">
        <w:trPr>
          <w:trHeight w:val="269"/>
        </w:trPr>
        <w:tc>
          <w:tcPr>
            <w:tcW w:w="4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том числе: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3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4A6EA2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4A6EA2">
        <w:trPr>
          <w:trHeight w:val="255"/>
        </w:trPr>
        <w:tc>
          <w:tcPr>
            <w:tcW w:w="4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обрабатывающие производства  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1494,8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1570,7</w:t>
            </w:r>
          </w:p>
        </w:tc>
        <w:tc>
          <w:tcPr>
            <w:tcW w:w="23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105,1</w:t>
            </w:r>
          </w:p>
        </w:tc>
      </w:tr>
      <w:tr w:rsidR="004A6EA2">
        <w:trPr>
          <w:trHeight w:val="510"/>
        </w:trPr>
        <w:tc>
          <w:tcPr>
            <w:tcW w:w="469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обеспечение электрической энергией, газом и паром; </w:t>
            </w:r>
            <w:r>
              <w:rPr>
                <w:sz w:val="28"/>
                <w:szCs w:val="28"/>
                <w:highlight w:val="white"/>
              </w:rPr>
              <w:lastRenderedPageBreak/>
              <w:t>кондиционирование воздуха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lastRenderedPageBreak/>
              <w:t>100,4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124,1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123,6</w:t>
            </w:r>
          </w:p>
        </w:tc>
      </w:tr>
      <w:tr w:rsidR="004A6EA2">
        <w:trPr>
          <w:trHeight w:val="51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2" w:rsidRDefault="008022CC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19,5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16,7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A2" w:rsidRDefault="008022CC"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85,6</w:t>
            </w:r>
          </w:p>
        </w:tc>
      </w:tr>
    </w:tbl>
    <w:p w:rsidR="004A6EA2" w:rsidRDefault="004A6EA2">
      <w:pPr>
        <w:ind w:firstLine="708"/>
        <w:jc w:val="both"/>
        <w:rPr>
          <w:sz w:val="28"/>
          <w:szCs w:val="28"/>
          <w:highlight w:val="white"/>
        </w:rPr>
      </w:pP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Индекс промышленного производства за 2023 год составил 116,4%.</w:t>
      </w:r>
    </w:p>
    <w:p w:rsidR="004A6EA2" w:rsidRDefault="008022CC">
      <w:pPr>
        <w:pStyle w:val="af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Основную долю вложений в экономику городского округа по промышленным видам деятельности обеспечивает предприятие филиал    ООО «ТД </w:t>
      </w:r>
      <w:proofErr w:type="spellStart"/>
      <w:r>
        <w:rPr>
          <w:sz w:val="28"/>
          <w:szCs w:val="28"/>
          <w:highlight w:val="white"/>
        </w:rPr>
        <w:t>Агроинновация</w:t>
      </w:r>
      <w:proofErr w:type="spellEnd"/>
      <w:r>
        <w:rPr>
          <w:sz w:val="28"/>
          <w:szCs w:val="28"/>
          <w:highlight w:val="white"/>
        </w:rPr>
        <w:t xml:space="preserve"> сахарный комбинат «Большевик». Предприятие специ</w:t>
      </w:r>
      <w:r>
        <w:rPr>
          <w:sz w:val="28"/>
          <w:szCs w:val="28"/>
          <w:highlight w:val="white"/>
        </w:rPr>
        <w:t xml:space="preserve">ализируется на производстве сахара из сахарной свеклы. </w:t>
      </w:r>
    </w:p>
    <w:p w:rsidR="004A6EA2" w:rsidRDefault="004A6EA2">
      <w:pPr>
        <w:pStyle w:val="af4"/>
        <w:spacing w:after="0"/>
        <w:ind w:left="0" w:firstLine="709"/>
        <w:jc w:val="both"/>
        <w:rPr>
          <w:sz w:val="28"/>
          <w:szCs w:val="28"/>
          <w:highlight w:val="white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8. Сельское хозяйство</w:t>
      </w:r>
    </w:p>
    <w:p w:rsidR="004A6EA2" w:rsidRDefault="008022CC">
      <w:pPr>
        <w:pStyle w:val="Web112111Web1"/>
        <w:spacing w:before="0" w:beforeAutospacing="0" w:after="0" w:afterAutospacing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Агропромышленный комплекс является важным и приоритетным сектором экономики городского округа. На его долю приходится 70,0% отгруженной продукции городского округа. </w:t>
      </w:r>
      <w:r>
        <w:rPr>
          <w:sz w:val="28"/>
          <w:szCs w:val="28"/>
          <w:highlight w:val="white"/>
        </w:rPr>
        <w:t>Сельскохозяйственным производством занимаются хозяйства всех форм собственности - крупные и средние сельскохозяйственные предприятия, малые предприятия и индивидуальные предприниматели. В городском округе развито животноводство мясомолочного направления, в</w:t>
      </w:r>
      <w:r>
        <w:rPr>
          <w:sz w:val="28"/>
          <w:szCs w:val="28"/>
          <w:highlight w:val="white"/>
        </w:rPr>
        <w:t>ыращивание зерновых и зернобобовых культур, технических культур.</w:t>
      </w:r>
    </w:p>
    <w:p w:rsidR="004A6EA2" w:rsidRDefault="008022CC">
      <w:pPr>
        <w:pStyle w:val="Web112111Web1"/>
        <w:spacing w:before="0" w:beforeAutospacing="0" w:after="0" w:afterAutospacing="0"/>
        <w:ind w:firstLine="708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Основные показатели </w:t>
      </w:r>
      <w:proofErr w:type="gramStart"/>
      <w:r>
        <w:rPr>
          <w:b/>
          <w:sz w:val="28"/>
          <w:szCs w:val="28"/>
          <w:highlight w:val="white"/>
        </w:rPr>
        <w:t>сельскохозяйственного</w:t>
      </w:r>
      <w:proofErr w:type="gramEnd"/>
    </w:p>
    <w:p w:rsidR="004A6EA2" w:rsidRDefault="008022CC">
      <w:pPr>
        <w:pStyle w:val="Web112111Web1"/>
        <w:spacing w:before="0" w:beforeAutospacing="0" w:after="0" w:afterAutospacing="0"/>
        <w:ind w:firstLine="708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производства за 2022-2023 г.г.</w:t>
      </w:r>
    </w:p>
    <w:p w:rsidR="004A6EA2" w:rsidRDefault="004A6EA2">
      <w:pPr>
        <w:pStyle w:val="Web112111Web1"/>
        <w:spacing w:before="0" w:beforeAutospacing="0" w:after="0" w:afterAutospacing="0"/>
        <w:ind w:firstLine="708"/>
        <w:jc w:val="both"/>
        <w:rPr>
          <w:b/>
          <w:highlight w:val="yellow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0"/>
        <w:gridCol w:w="1541"/>
        <w:gridCol w:w="1126"/>
        <w:gridCol w:w="1126"/>
        <w:gridCol w:w="1305"/>
      </w:tblGrid>
      <w:tr w:rsidR="008022CC" w:rsidTr="008022CC">
        <w:trPr>
          <w:tblHeader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 xml:space="preserve">2022 </w:t>
            </w:r>
          </w:p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>2023</w:t>
            </w:r>
          </w:p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 xml:space="preserve">Темп роста 2023 г. </w:t>
            </w:r>
            <w:proofErr w:type="gramStart"/>
            <w:r w:rsidRPr="008022CC">
              <w:rPr>
                <w:b/>
                <w:sz w:val="24"/>
                <w:szCs w:val="24"/>
                <w:highlight w:val="white"/>
              </w:rPr>
              <w:t>к</w:t>
            </w:r>
            <w:proofErr w:type="gramEnd"/>
            <w:r w:rsidRPr="008022CC">
              <w:rPr>
                <w:b/>
                <w:sz w:val="24"/>
                <w:szCs w:val="24"/>
                <w:highlight w:val="white"/>
              </w:rPr>
              <w:t xml:space="preserve"> </w:t>
            </w:r>
          </w:p>
          <w:p w:rsidR="004A6EA2" w:rsidRPr="008022CC" w:rsidRDefault="008022CC" w:rsidP="008022CC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 w:rsidRPr="008022CC">
              <w:rPr>
                <w:b/>
                <w:sz w:val="24"/>
                <w:szCs w:val="24"/>
                <w:highlight w:val="white"/>
              </w:rPr>
              <w:t xml:space="preserve">2022 г. </w:t>
            </w:r>
            <w:proofErr w:type="gramStart"/>
            <w:r w:rsidRPr="008022CC">
              <w:rPr>
                <w:b/>
                <w:sz w:val="24"/>
                <w:szCs w:val="24"/>
                <w:highlight w:val="white"/>
              </w:rPr>
              <w:t>в</w:t>
            </w:r>
            <w:proofErr w:type="gramEnd"/>
            <w:r w:rsidRPr="008022CC">
              <w:rPr>
                <w:b/>
                <w:sz w:val="24"/>
                <w:szCs w:val="24"/>
                <w:highlight w:val="white"/>
              </w:rPr>
              <w:t xml:space="preserve"> %%</w:t>
            </w:r>
          </w:p>
        </w:tc>
      </w:tr>
      <w:tr w:rsidR="008022CC" w:rsidTr="008022CC">
        <w:tc>
          <w:tcPr>
            <w:tcW w:w="4504" w:type="dxa"/>
            <w:tcBorders>
              <w:top w:val="single" w:sz="6" w:space="0" w:color="000000"/>
            </w:tcBorders>
          </w:tcPr>
          <w:p w:rsidR="004A6EA2" w:rsidRPr="008022CC" w:rsidRDefault="008022CC" w:rsidP="008022CC">
            <w:pPr>
              <w:pStyle w:val="af5"/>
              <w:spacing w:after="0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Выпуск продукции сельского хозяйства всеми сельхоз-</w:t>
            </w:r>
          </w:p>
          <w:p w:rsidR="004A6EA2" w:rsidRPr="008022CC" w:rsidRDefault="008022CC" w:rsidP="008022CC">
            <w:pPr>
              <w:pStyle w:val="af5"/>
              <w:spacing w:after="0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 xml:space="preserve">товаропроизводителями </w:t>
            </w:r>
          </w:p>
          <w:p w:rsidR="004A6EA2" w:rsidRPr="008022CC" w:rsidRDefault="008022CC" w:rsidP="008022CC">
            <w:pPr>
              <w:pStyle w:val="af5"/>
              <w:spacing w:after="0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(в действующих ценах) - всего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4A6EA2" w:rsidRPr="008022CC" w:rsidRDefault="008022CC" w:rsidP="008022CC">
            <w:pPr>
              <w:pStyle w:val="af5"/>
              <w:spacing w:after="0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8022CC">
              <w:rPr>
                <w:sz w:val="28"/>
                <w:szCs w:val="28"/>
                <w:highlight w:val="white"/>
              </w:rPr>
              <w:t>млн</w:t>
            </w:r>
            <w:proofErr w:type="spellEnd"/>
            <w:proofErr w:type="gramEnd"/>
            <w:r w:rsidRPr="008022CC">
              <w:rPr>
                <w:sz w:val="28"/>
                <w:szCs w:val="28"/>
                <w:highlight w:val="white"/>
              </w:rPr>
              <w:t xml:space="preserve"> руб.</w:t>
            </w:r>
          </w:p>
        </w:tc>
        <w:tc>
          <w:tcPr>
            <w:tcW w:w="1065" w:type="dxa"/>
            <w:tcBorders>
              <w:top w:val="single" w:sz="6" w:space="0" w:color="000000"/>
            </w:tcBorders>
            <w:vAlign w:val="center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  <w:highlight w:val="white"/>
              </w:rPr>
              <w:t>10599,7</w:t>
            </w:r>
          </w:p>
        </w:tc>
        <w:tc>
          <w:tcPr>
            <w:tcW w:w="1056" w:type="dxa"/>
            <w:tcBorders>
              <w:top w:val="single" w:sz="6" w:space="0" w:color="000000"/>
            </w:tcBorders>
            <w:vAlign w:val="center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  <w:highlight w:val="white"/>
              </w:rPr>
              <w:t>10068,3</w:t>
            </w:r>
          </w:p>
        </w:tc>
        <w:tc>
          <w:tcPr>
            <w:tcW w:w="1354" w:type="dxa"/>
            <w:tcBorders>
              <w:top w:val="single" w:sz="6" w:space="0" w:color="000000"/>
            </w:tcBorders>
            <w:vAlign w:val="center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95,0</w:t>
            </w:r>
          </w:p>
        </w:tc>
      </w:tr>
      <w:tr w:rsidR="008022CC" w:rsidTr="008022CC">
        <w:tc>
          <w:tcPr>
            <w:tcW w:w="4504" w:type="dxa"/>
          </w:tcPr>
          <w:p w:rsidR="004A6EA2" w:rsidRPr="008022CC" w:rsidRDefault="008022CC" w:rsidP="008022CC">
            <w:pPr>
              <w:pStyle w:val="af5"/>
              <w:spacing w:after="0"/>
              <w:jc w:val="both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в том числе:</w:t>
            </w:r>
          </w:p>
        </w:tc>
        <w:tc>
          <w:tcPr>
            <w:tcW w:w="1559" w:type="dxa"/>
          </w:tcPr>
          <w:p w:rsidR="004A6EA2" w:rsidRPr="008022CC" w:rsidRDefault="004A6EA2" w:rsidP="008022CC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065" w:type="dxa"/>
          </w:tcPr>
          <w:p w:rsidR="004A6EA2" w:rsidRPr="008022CC" w:rsidRDefault="004A6EA2">
            <w:pPr>
              <w:rPr>
                <w:sz w:val="28"/>
                <w:highlight w:val="white"/>
              </w:rPr>
            </w:pPr>
          </w:p>
        </w:tc>
        <w:tc>
          <w:tcPr>
            <w:tcW w:w="1056" w:type="dxa"/>
          </w:tcPr>
          <w:p w:rsidR="004A6EA2" w:rsidRPr="008022CC" w:rsidRDefault="004A6EA2">
            <w:pPr>
              <w:rPr>
                <w:sz w:val="28"/>
                <w:highlight w:val="white"/>
              </w:rPr>
            </w:pPr>
          </w:p>
        </w:tc>
        <w:tc>
          <w:tcPr>
            <w:tcW w:w="1354" w:type="dxa"/>
          </w:tcPr>
          <w:p w:rsidR="004A6EA2" w:rsidRPr="008022CC" w:rsidRDefault="004A6EA2">
            <w:pPr>
              <w:rPr>
                <w:sz w:val="28"/>
                <w:highlight w:val="white"/>
              </w:rPr>
            </w:pP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Продукция растениеводства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8022CC">
              <w:rPr>
                <w:sz w:val="28"/>
                <w:szCs w:val="28"/>
                <w:highlight w:val="white"/>
              </w:rPr>
              <w:t>млн</w:t>
            </w:r>
            <w:proofErr w:type="spellEnd"/>
            <w:proofErr w:type="gramEnd"/>
            <w:r w:rsidRPr="008022CC">
              <w:rPr>
                <w:sz w:val="28"/>
                <w:szCs w:val="28"/>
                <w:highlight w:val="white"/>
              </w:rPr>
              <w:t xml:space="preserve"> руб.</w:t>
            </w:r>
          </w:p>
        </w:tc>
        <w:tc>
          <w:tcPr>
            <w:tcW w:w="1065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  <w:highlight w:val="white"/>
              </w:rPr>
              <w:t>5193,4</w:t>
            </w:r>
          </w:p>
        </w:tc>
        <w:tc>
          <w:tcPr>
            <w:tcW w:w="1056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  <w:highlight w:val="white"/>
              </w:rPr>
              <w:t>4548,2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87,6</w:t>
            </w: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Продукция животноводства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proofErr w:type="gramStart"/>
            <w:r w:rsidRPr="008022CC">
              <w:rPr>
                <w:sz w:val="28"/>
                <w:szCs w:val="28"/>
                <w:highlight w:val="white"/>
              </w:rPr>
              <w:t>млн</w:t>
            </w:r>
            <w:proofErr w:type="spellEnd"/>
            <w:proofErr w:type="gramEnd"/>
            <w:r w:rsidRPr="008022CC">
              <w:rPr>
                <w:sz w:val="28"/>
                <w:szCs w:val="28"/>
                <w:highlight w:val="white"/>
              </w:rPr>
              <w:t xml:space="preserve"> руб.</w:t>
            </w:r>
          </w:p>
        </w:tc>
        <w:tc>
          <w:tcPr>
            <w:tcW w:w="1065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  <w:highlight w:val="white"/>
              </w:rPr>
              <w:t>5405,4</w:t>
            </w:r>
          </w:p>
        </w:tc>
        <w:tc>
          <w:tcPr>
            <w:tcW w:w="1056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  <w:highlight w:val="white"/>
              </w:rPr>
              <w:t>5520,1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102,1</w:t>
            </w:r>
          </w:p>
        </w:tc>
      </w:tr>
      <w:tr w:rsidR="008022CC" w:rsidTr="008022CC">
        <w:tc>
          <w:tcPr>
            <w:tcW w:w="4504" w:type="dxa"/>
          </w:tcPr>
          <w:p w:rsidR="004A6EA2" w:rsidRPr="008022CC" w:rsidRDefault="008022CC" w:rsidP="008022CC">
            <w:pPr>
              <w:widowControl w:val="0"/>
              <w:spacing w:line="228" w:lineRule="auto"/>
              <w:rPr>
                <w:bCs/>
                <w:color w:val="000000"/>
                <w:sz w:val="28"/>
                <w:szCs w:val="28"/>
                <w:highlight w:val="white"/>
              </w:rPr>
            </w:pPr>
            <w:r w:rsidRPr="008022CC">
              <w:rPr>
                <w:bCs/>
                <w:color w:val="000000"/>
                <w:sz w:val="28"/>
                <w:szCs w:val="28"/>
                <w:highlight w:val="white"/>
              </w:rPr>
              <w:t xml:space="preserve">Производство основных видов сельскохозяйственной продукции </w:t>
            </w:r>
          </w:p>
          <w:p w:rsidR="004A6EA2" w:rsidRPr="008022CC" w:rsidRDefault="008022CC" w:rsidP="008022CC">
            <w:pPr>
              <w:pStyle w:val="af5"/>
              <w:spacing w:after="0"/>
              <w:jc w:val="both"/>
              <w:rPr>
                <w:sz w:val="28"/>
                <w:szCs w:val="28"/>
                <w:highlight w:val="white"/>
              </w:rPr>
            </w:pPr>
            <w:r w:rsidRPr="008022CC">
              <w:rPr>
                <w:bCs/>
                <w:color w:val="000000"/>
                <w:sz w:val="28"/>
                <w:szCs w:val="28"/>
                <w:highlight w:val="white"/>
              </w:rPr>
              <w:t>(в хозяйствах всех категорий)</w:t>
            </w:r>
          </w:p>
        </w:tc>
        <w:tc>
          <w:tcPr>
            <w:tcW w:w="1559" w:type="dxa"/>
          </w:tcPr>
          <w:p w:rsidR="004A6EA2" w:rsidRPr="008022CC" w:rsidRDefault="004A6EA2" w:rsidP="008022CC">
            <w:pPr>
              <w:pStyle w:val="af5"/>
              <w:spacing w:after="0"/>
              <w:ind w:firstLine="709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1065" w:type="dxa"/>
          </w:tcPr>
          <w:p w:rsidR="004A6EA2" w:rsidRPr="008022CC" w:rsidRDefault="004A6EA2">
            <w:pPr>
              <w:rPr>
                <w:sz w:val="28"/>
                <w:highlight w:val="white"/>
              </w:rPr>
            </w:pPr>
          </w:p>
        </w:tc>
        <w:tc>
          <w:tcPr>
            <w:tcW w:w="1056" w:type="dxa"/>
          </w:tcPr>
          <w:p w:rsidR="004A6EA2" w:rsidRPr="008022CC" w:rsidRDefault="004A6EA2">
            <w:pPr>
              <w:rPr>
                <w:sz w:val="28"/>
                <w:highlight w:val="white"/>
              </w:rPr>
            </w:pPr>
          </w:p>
        </w:tc>
        <w:tc>
          <w:tcPr>
            <w:tcW w:w="1354" w:type="dxa"/>
          </w:tcPr>
          <w:p w:rsidR="004A6EA2" w:rsidRPr="008022CC" w:rsidRDefault="004A6EA2">
            <w:pPr>
              <w:rPr>
                <w:sz w:val="28"/>
                <w:highlight w:val="white"/>
              </w:rPr>
            </w:pP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Зерно (в весе после доработки)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тыс. тонн</w:t>
            </w:r>
          </w:p>
        </w:tc>
        <w:tc>
          <w:tcPr>
            <w:tcW w:w="1065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119,2</w:t>
            </w:r>
          </w:p>
        </w:tc>
        <w:tc>
          <w:tcPr>
            <w:tcW w:w="1056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103,5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86,8</w:t>
            </w: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Сахарная свекла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тыс. тонн</w:t>
            </w:r>
          </w:p>
        </w:tc>
        <w:tc>
          <w:tcPr>
            <w:tcW w:w="1065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179,3</w:t>
            </w:r>
          </w:p>
        </w:tc>
        <w:tc>
          <w:tcPr>
            <w:tcW w:w="1056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197,8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110,3</w:t>
            </w: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Подсолнечник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тыс. тонн</w:t>
            </w:r>
          </w:p>
        </w:tc>
        <w:tc>
          <w:tcPr>
            <w:tcW w:w="1065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9,3</w:t>
            </w:r>
          </w:p>
        </w:tc>
        <w:tc>
          <w:tcPr>
            <w:tcW w:w="1056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9,1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97,8</w:t>
            </w: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color w:val="000000"/>
                <w:sz w:val="28"/>
                <w:szCs w:val="28"/>
                <w:highlight w:val="white"/>
              </w:rPr>
              <w:t>Скот и птица (в живом весе)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тыс. тонн</w:t>
            </w:r>
          </w:p>
        </w:tc>
        <w:tc>
          <w:tcPr>
            <w:tcW w:w="1065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30,5</w:t>
            </w:r>
          </w:p>
        </w:tc>
        <w:tc>
          <w:tcPr>
            <w:tcW w:w="1056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31,0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101,6</w:t>
            </w:r>
          </w:p>
        </w:tc>
      </w:tr>
      <w:tr w:rsidR="008022CC" w:rsidTr="008022CC">
        <w:tc>
          <w:tcPr>
            <w:tcW w:w="4504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Молоко</w:t>
            </w:r>
          </w:p>
        </w:tc>
        <w:tc>
          <w:tcPr>
            <w:tcW w:w="1559" w:type="dxa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тыс. тонн</w:t>
            </w:r>
          </w:p>
        </w:tc>
        <w:tc>
          <w:tcPr>
            <w:tcW w:w="1065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45,3</w:t>
            </w:r>
          </w:p>
        </w:tc>
        <w:tc>
          <w:tcPr>
            <w:tcW w:w="1056" w:type="dxa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44,6</w:t>
            </w:r>
          </w:p>
        </w:tc>
        <w:tc>
          <w:tcPr>
            <w:tcW w:w="1354" w:type="dxa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98,5</w:t>
            </w:r>
          </w:p>
        </w:tc>
      </w:tr>
      <w:tr w:rsidR="008022CC" w:rsidTr="008022CC">
        <w:trPr>
          <w:trHeight w:val="230"/>
        </w:trPr>
        <w:tc>
          <w:tcPr>
            <w:tcW w:w="4504" w:type="dxa"/>
            <w:vMerge w:val="restart"/>
            <w:vAlign w:val="center"/>
          </w:tcPr>
          <w:p w:rsidR="004A6EA2" w:rsidRPr="008022CC" w:rsidRDefault="008022CC">
            <w:pPr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Яйца</w:t>
            </w:r>
          </w:p>
        </w:tc>
        <w:tc>
          <w:tcPr>
            <w:tcW w:w="1559" w:type="dxa"/>
            <w:vMerge w:val="restart"/>
            <w:vAlign w:val="center"/>
          </w:tcPr>
          <w:p w:rsidR="004A6EA2" w:rsidRPr="008022CC" w:rsidRDefault="008022CC" w:rsidP="008022CC">
            <w:pPr>
              <w:widowControl w:val="0"/>
              <w:spacing w:line="216" w:lineRule="auto"/>
              <w:jc w:val="center"/>
              <w:rPr>
                <w:sz w:val="28"/>
                <w:szCs w:val="28"/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млн. штук</w:t>
            </w:r>
          </w:p>
        </w:tc>
        <w:tc>
          <w:tcPr>
            <w:tcW w:w="1065" w:type="dxa"/>
            <w:vMerge w:val="restart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10,6</w:t>
            </w:r>
          </w:p>
        </w:tc>
        <w:tc>
          <w:tcPr>
            <w:tcW w:w="1056" w:type="dxa"/>
            <w:vMerge w:val="restart"/>
          </w:tcPr>
          <w:p w:rsidR="004A6EA2" w:rsidRPr="008022CC" w:rsidRDefault="008022CC" w:rsidP="008022CC">
            <w:pPr>
              <w:jc w:val="center"/>
              <w:rPr>
                <w:highlight w:val="white"/>
              </w:rPr>
            </w:pPr>
            <w:r w:rsidRPr="008022CC">
              <w:rPr>
                <w:sz w:val="28"/>
                <w:szCs w:val="28"/>
                <w:highlight w:val="white"/>
              </w:rPr>
              <w:t>12,3</w:t>
            </w:r>
          </w:p>
        </w:tc>
        <w:tc>
          <w:tcPr>
            <w:tcW w:w="1354" w:type="dxa"/>
            <w:vMerge w:val="restart"/>
          </w:tcPr>
          <w:p w:rsidR="004A6EA2" w:rsidRPr="008022CC" w:rsidRDefault="008022CC">
            <w:pPr>
              <w:rPr>
                <w:sz w:val="28"/>
                <w:highlight w:val="white"/>
              </w:rPr>
            </w:pPr>
            <w:r w:rsidRPr="008022CC">
              <w:rPr>
                <w:sz w:val="28"/>
              </w:rPr>
              <w:t>116,0</w:t>
            </w:r>
          </w:p>
        </w:tc>
      </w:tr>
    </w:tbl>
    <w:p w:rsidR="004A6EA2" w:rsidRDefault="008022CC">
      <w:pPr>
        <w:pStyle w:val="Web112111Web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Наиболее крупными сельскохозяйственными предприятиями                             в городском округе являются – ЗАО</w:t>
      </w:r>
      <w:r>
        <w:rPr>
          <w:color w:val="000000"/>
          <w:sz w:val="28"/>
          <w:szCs w:val="28"/>
          <w:highlight w:val="white"/>
        </w:rPr>
        <w:t xml:space="preserve"> «Большевик», ООО «</w:t>
      </w:r>
      <w:proofErr w:type="spellStart"/>
      <w:r>
        <w:rPr>
          <w:color w:val="000000"/>
          <w:sz w:val="28"/>
          <w:szCs w:val="28"/>
          <w:highlight w:val="white"/>
        </w:rPr>
        <w:t>Грайворон-агроинвест</w:t>
      </w:r>
      <w:proofErr w:type="spellEnd"/>
      <w:r>
        <w:rPr>
          <w:color w:val="000000"/>
          <w:sz w:val="28"/>
          <w:szCs w:val="28"/>
          <w:highlight w:val="white"/>
        </w:rPr>
        <w:t xml:space="preserve">», ООО «Грайворонский </w:t>
      </w:r>
      <w:proofErr w:type="spellStart"/>
      <w:r>
        <w:rPr>
          <w:color w:val="000000"/>
          <w:sz w:val="28"/>
          <w:szCs w:val="28"/>
          <w:highlight w:val="white"/>
        </w:rPr>
        <w:t>свинокомплекс</w:t>
      </w:r>
      <w:proofErr w:type="spellEnd"/>
      <w:r>
        <w:rPr>
          <w:color w:val="000000"/>
          <w:sz w:val="28"/>
          <w:szCs w:val="28"/>
          <w:highlight w:val="white"/>
        </w:rPr>
        <w:t xml:space="preserve">», ООО «Грайворонский </w:t>
      </w:r>
      <w:proofErr w:type="spellStart"/>
      <w:r>
        <w:rPr>
          <w:color w:val="000000"/>
          <w:sz w:val="28"/>
          <w:szCs w:val="28"/>
          <w:highlight w:val="white"/>
        </w:rPr>
        <w:t>свинокомплекс</w:t>
      </w:r>
      <w:proofErr w:type="spellEnd"/>
      <w:r>
        <w:rPr>
          <w:color w:val="000000"/>
          <w:sz w:val="28"/>
          <w:szCs w:val="28"/>
          <w:highlight w:val="white"/>
        </w:rPr>
        <w:t xml:space="preserve"> 1», ООО «Грайворонский </w:t>
      </w:r>
      <w:proofErr w:type="spellStart"/>
      <w:r>
        <w:rPr>
          <w:color w:val="000000"/>
          <w:sz w:val="28"/>
          <w:szCs w:val="28"/>
          <w:highlight w:val="white"/>
        </w:rPr>
        <w:t>свинокомплекс</w:t>
      </w:r>
      <w:proofErr w:type="spellEnd"/>
      <w:r>
        <w:rPr>
          <w:color w:val="000000"/>
          <w:sz w:val="28"/>
          <w:szCs w:val="28"/>
          <w:highlight w:val="white"/>
        </w:rPr>
        <w:t xml:space="preserve"> 2», ООО «</w:t>
      </w:r>
      <w:proofErr w:type="spellStart"/>
      <w:r>
        <w:rPr>
          <w:color w:val="000000"/>
          <w:sz w:val="28"/>
          <w:szCs w:val="28"/>
          <w:highlight w:val="white"/>
        </w:rPr>
        <w:t>Грайворонская</w:t>
      </w:r>
      <w:proofErr w:type="spellEnd"/>
      <w:r>
        <w:rPr>
          <w:color w:val="000000"/>
          <w:sz w:val="28"/>
          <w:szCs w:val="28"/>
          <w:highlight w:val="white"/>
        </w:rPr>
        <w:t xml:space="preserve"> молочная компания», 5 площадок ЗАО «</w:t>
      </w:r>
      <w:proofErr w:type="spellStart"/>
      <w:r>
        <w:rPr>
          <w:color w:val="000000"/>
          <w:sz w:val="28"/>
          <w:szCs w:val="28"/>
          <w:highlight w:val="white"/>
        </w:rPr>
        <w:t>Краснояружский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бройлер», ОП ООО «УК </w:t>
      </w:r>
      <w:proofErr w:type="spellStart"/>
      <w:r>
        <w:rPr>
          <w:color w:val="000000"/>
          <w:sz w:val="28"/>
          <w:szCs w:val="28"/>
          <w:highlight w:val="white"/>
        </w:rPr>
        <w:t>Регионинвест</w:t>
      </w:r>
      <w:proofErr w:type="spellEnd"/>
      <w:r>
        <w:rPr>
          <w:color w:val="000000"/>
          <w:sz w:val="28"/>
          <w:szCs w:val="28"/>
          <w:highlight w:val="white"/>
        </w:rPr>
        <w:t>».</w:t>
      </w:r>
    </w:p>
    <w:p w:rsidR="004A6EA2" w:rsidRDefault="004A6EA2">
      <w:pPr>
        <w:pStyle w:val="Web112111Web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4A6EA2" w:rsidRDefault="008022CC">
      <w:pPr>
        <w:pStyle w:val="Web112111Web1"/>
        <w:shd w:val="clear" w:color="FFFFFF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9. Строительство</w:t>
      </w:r>
    </w:p>
    <w:p w:rsidR="004A6EA2" w:rsidRDefault="008022CC">
      <w:pPr>
        <w:pStyle w:val="af5"/>
        <w:shd w:val="clear" w:color="FFFFFF" w:fill="FFFFFF" w:themeFill="background1"/>
        <w:spacing w:after="0"/>
        <w:ind w:firstLine="708"/>
        <w:jc w:val="both"/>
        <w:rPr>
          <w:spacing w:val="-2"/>
          <w:sz w:val="28"/>
          <w:highlight w:val="white"/>
        </w:rPr>
      </w:pPr>
      <w:r>
        <w:rPr>
          <w:spacing w:val="-2"/>
          <w:sz w:val="28"/>
          <w:highlight w:val="white"/>
        </w:rPr>
        <w:t xml:space="preserve">Особо важным направлением в деятельности администрации </w:t>
      </w:r>
      <w:r>
        <w:rPr>
          <w:bCs/>
          <w:iCs/>
          <w:sz w:val="28"/>
          <w:szCs w:val="28"/>
        </w:rPr>
        <w:t>городского</w:t>
      </w:r>
      <w:r>
        <w:rPr>
          <w:spacing w:val="-2"/>
          <w:sz w:val="28"/>
          <w:highlight w:val="white"/>
        </w:rPr>
        <w:t xml:space="preserve"> округа является жилищное строительство и содействие жителям в улучшении жилищных условий. </w:t>
      </w:r>
      <w:r>
        <w:rPr>
          <w:sz w:val="28"/>
          <w:szCs w:val="28"/>
          <w:highlight w:val="white"/>
        </w:rPr>
        <w:t>Строительство жилья является точкой роста экономики, залогом его эффективного раз</w:t>
      </w:r>
      <w:r>
        <w:rPr>
          <w:sz w:val="28"/>
          <w:szCs w:val="28"/>
          <w:highlight w:val="white"/>
        </w:rPr>
        <w:t>вития, как в экономическом, так и в социальном плане.</w:t>
      </w:r>
    </w:p>
    <w:p w:rsidR="004A6EA2" w:rsidRDefault="008022CC">
      <w:pPr>
        <w:pStyle w:val="af5"/>
        <w:shd w:val="clear" w:color="FFFFFF" w:fill="FFFFFF" w:themeFill="background1"/>
        <w:spacing w:after="0"/>
        <w:jc w:val="both"/>
        <w:rPr>
          <w:spacing w:val="-2"/>
          <w:sz w:val="28"/>
          <w:highlight w:val="white"/>
        </w:rPr>
      </w:pPr>
      <w:r>
        <w:rPr>
          <w:spacing w:val="-2"/>
          <w:sz w:val="28"/>
          <w:highlight w:val="white"/>
        </w:rPr>
        <w:tab/>
        <w:t xml:space="preserve">За 2023 год на территории </w:t>
      </w:r>
      <w:r>
        <w:rPr>
          <w:bCs/>
          <w:iCs/>
          <w:sz w:val="28"/>
          <w:szCs w:val="28"/>
        </w:rPr>
        <w:t>городского</w:t>
      </w:r>
      <w:r>
        <w:rPr>
          <w:spacing w:val="-2"/>
          <w:sz w:val="28"/>
          <w:highlight w:val="white"/>
        </w:rPr>
        <w:t xml:space="preserve"> округа введено в эксплуатацию 83 </w:t>
      </w:r>
      <w:proofErr w:type="gramStart"/>
      <w:r>
        <w:rPr>
          <w:spacing w:val="-2"/>
          <w:sz w:val="28"/>
          <w:highlight w:val="white"/>
        </w:rPr>
        <w:t>индивидуальных</w:t>
      </w:r>
      <w:proofErr w:type="gramEnd"/>
      <w:r>
        <w:rPr>
          <w:spacing w:val="-2"/>
          <w:sz w:val="28"/>
          <w:highlight w:val="white"/>
        </w:rPr>
        <w:t xml:space="preserve"> жилых дома общей площадью 11878 кв. м.                                        (за 2019 год – 93 дома общей площадью </w:t>
      </w:r>
      <w:r>
        <w:rPr>
          <w:spacing w:val="-2"/>
          <w:sz w:val="28"/>
          <w:highlight w:val="white"/>
        </w:rPr>
        <w:t xml:space="preserve">11475 кв.м.). Темп роста по вводу жилья составил 103,5%. </w:t>
      </w:r>
    </w:p>
    <w:p w:rsidR="004A6EA2" w:rsidRDefault="008022CC">
      <w:pPr>
        <w:pStyle w:val="af5"/>
        <w:spacing w:after="0"/>
        <w:ind w:firstLine="708"/>
        <w:jc w:val="both"/>
        <w:rPr>
          <w:spacing w:val="-2"/>
          <w:sz w:val="28"/>
          <w:highlight w:val="white"/>
        </w:rPr>
      </w:pPr>
      <w:r>
        <w:rPr>
          <w:spacing w:val="-2"/>
          <w:sz w:val="28"/>
          <w:highlight w:val="white"/>
        </w:rPr>
        <w:t xml:space="preserve">За прошедший 2023 год на территории </w:t>
      </w:r>
      <w:r>
        <w:rPr>
          <w:bCs/>
          <w:iCs/>
          <w:sz w:val="28"/>
          <w:szCs w:val="28"/>
        </w:rPr>
        <w:t xml:space="preserve">городского </w:t>
      </w:r>
      <w:r>
        <w:rPr>
          <w:spacing w:val="-2"/>
          <w:sz w:val="28"/>
          <w:highlight w:val="white"/>
        </w:rPr>
        <w:t>округа был проведен значительный объем работ по объектам социально-культурного назначения:</w:t>
      </w:r>
    </w:p>
    <w:p w:rsidR="004A6EA2" w:rsidRDefault="008022CC">
      <w:pPr>
        <w:widowControl w:val="0"/>
        <w:ind w:firstLine="720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Завершились ремонтно-реставрационные работы памятника архитектуры «Дом Петренко» в городе Грайворон. </w:t>
      </w:r>
      <w:r>
        <w:rPr>
          <w:color w:val="000000"/>
          <w:sz w:val="28"/>
          <w:szCs w:val="28"/>
          <w:highlight w:val="white"/>
        </w:rPr>
        <w:t>Сейчас в</w:t>
      </w:r>
      <w:r>
        <w:rPr>
          <w:sz w:val="28"/>
          <w:szCs w:val="28"/>
          <w:highlight w:val="white"/>
        </w:rPr>
        <w:t xml:space="preserve"> этом здании разместился </w:t>
      </w:r>
      <w:r>
        <w:rPr>
          <w:sz w:val="28"/>
          <w:szCs w:val="28"/>
          <w:highlight w:val="white"/>
          <w:shd w:val="clear" w:color="FFFFFF" w:fill="FFFFFF"/>
        </w:rPr>
        <w:t>Дом ремёсел.</w:t>
      </w:r>
    </w:p>
    <w:p w:rsidR="004A6EA2" w:rsidRDefault="008022CC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FFFFFF" w:fill="FFFFFF"/>
        </w:rPr>
        <w:t>Проведен капитальный ремонт братской могилы в с</w:t>
      </w:r>
      <w:proofErr w:type="gramStart"/>
      <w:r>
        <w:rPr>
          <w:sz w:val="28"/>
          <w:szCs w:val="28"/>
          <w:highlight w:val="white"/>
          <w:shd w:val="clear" w:color="FFFFFF" w:fill="FFFFFF"/>
        </w:rPr>
        <w:t>.Г</w:t>
      </w:r>
      <w:proofErr w:type="gramEnd"/>
      <w:r>
        <w:rPr>
          <w:sz w:val="28"/>
          <w:szCs w:val="28"/>
          <w:highlight w:val="white"/>
          <w:shd w:val="clear" w:color="FFFFFF" w:fill="FFFFFF"/>
        </w:rPr>
        <w:t xml:space="preserve">лотово и </w:t>
      </w:r>
      <w:proofErr w:type="spellStart"/>
      <w:r>
        <w:rPr>
          <w:sz w:val="28"/>
          <w:szCs w:val="28"/>
          <w:highlight w:val="white"/>
          <w:shd w:val="clear" w:color="FFFFFF" w:fill="FFFFFF"/>
        </w:rPr>
        <w:t>с.Новостроевка</w:t>
      </w:r>
      <w:proofErr w:type="spellEnd"/>
      <w:r>
        <w:rPr>
          <w:sz w:val="28"/>
          <w:szCs w:val="28"/>
          <w:highlight w:val="white"/>
          <w:shd w:val="clear" w:color="FFFFFF" w:fill="FFFFFF"/>
        </w:rPr>
        <w:t xml:space="preserve"> Первая.</w:t>
      </w:r>
    </w:p>
    <w:p w:rsidR="004A6EA2" w:rsidRDefault="008022CC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FFFFFF" w:fill="FFFFFF"/>
        </w:rPr>
        <w:t>Введен в эксплуатацию социал</w:t>
      </w:r>
      <w:r>
        <w:rPr>
          <w:sz w:val="28"/>
          <w:szCs w:val="28"/>
          <w:highlight w:val="white"/>
          <w:shd w:val="clear" w:color="FFFFFF" w:fill="FFFFFF"/>
        </w:rPr>
        <w:t xml:space="preserve">ьно-культурный центр в селе </w:t>
      </w:r>
      <w:proofErr w:type="spellStart"/>
      <w:r>
        <w:rPr>
          <w:sz w:val="28"/>
          <w:szCs w:val="28"/>
          <w:highlight w:val="white"/>
          <w:shd w:val="clear" w:color="FFFFFF" w:fill="FFFFFF"/>
        </w:rPr>
        <w:t>Новостроевка</w:t>
      </w:r>
      <w:proofErr w:type="spellEnd"/>
      <w:proofErr w:type="gramStart"/>
      <w:r>
        <w:rPr>
          <w:sz w:val="28"/>
          <w:szCs w:val="28"/>
          <w:highlight w:val="white"/>
          <w:shd w:val="clear" w:color="FFFFFF" w:fill="FFFFFF"/>
        </w:rPr>
        <w:t xml:space="preserve">  П</w:t>
      </w:r>
      <w:proofErr w:type="gramEnd"/>
      <w:r>
        <w:rPr>
          <w:sz w:val="28"/>
          <w:szCs w:val="28"/>
          <w:highlight w:val="white"/>
          <w:shd w:val="clear" w:color="FFFFFF" w:fill="FFFFFF"/>
        </w:rPr>
        <w:t>ервая.</w:t>
      </w:r>
    </w:p>
    <w:p w:rsidR="004A6EA2" w:rsidRDefault="008022CC">
      <w:pPr>
        <w:widowControl w:val="0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2023 году закончились работы по благоустройству рекреационной зоны «Петровская круча» (вторая очередь, остров с ротондой). </w:t>
      </w:r>
    </w:p>
    <w:p w:rsidR="004A6EA2" w:rsidRDefault="008022CC">
      <w:pPr>
        <w:widowControl w:val="0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губернаторского проекта «Решаем вместе» в селе Мокрая Орловка и </w:t>
      </w:r>
      <w:proofErr w:type="spellStart"/>
      <w:r>
        <w:rPr>
          <w:sz w:val="28"/>
          <w:szCs w:val="28"/>
          <w:highlight w:val="white"/>
        </w:rPr>
        <w:t>Смороди</w:t>
      </w:r>
      <w:r>
        <w:rPr>
          <w:sz w:val="28"/>
          <w:szCs w:val="28"/>
          <w:highlight w:val="white"/>
        </w:rPr>
        <w:t>но</w:t>
      </w:r>
      <w:proofErr w:type="spellEnd"/>
      <w:r>
        <w:rPr>
          <w:sz w:val="28"/>
          <w:szCs w:val="28"/>
          <w:highlight w:val="white"/>
        </w:rPr>
        <w:t xml:space="preserve"> завершилось строительство двух летних сценических площадок. </w:t>
      </w:r>
    </w:p>
    <w:p w:rsidR="004A6EA2" w:rsidRDefault="004A6EA2">
      <w:pPr>
        <w:pStyle w:val="af5"/>
        <w:spacing w:after="0"/>
        <w:jc w:val="both"/>
        <w:rPr>
          <w:spacing w:val="-2"/>
          <w:sz w:val="28"/>
          <w:szCs w:val="28"/>
          <w:highlight w:val="yellow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10. Международное сотрудничество и внешнеэкономическая деятельность</w:t>
      </w:r>
    </w:p>
    <w:p w:rsidR="004A6EA2" w:rsidRDefault="008022CC">
      <w:pPr>
        <w:jc w:val="both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На территории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нет предприятий, осуществляющих внешнеэкономическую деятельность. </w:t>
      </w:r>
    </w:p>
    <w:p w:rsidR="004A6EA2" w:rsidRDefault="004A6EA2">
      <w:pPr>
        <w:jc w:val="both"/>
        <w:rPr>
          <w:sz w:val="28"/>
          <w:szCs w:val="28"/>
          <w:highlight w:val="white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11. Мал</w:t>
      </w:r>
      <w:r>
        <w:rPr>
          <w:b/>
          <w:sz w:val="28"/>
          <w:szCs w:val="28"/>
          <w:highlight w:val="white"/>
        </w:rPr>
        <w:t>ое и среднее предпринимательство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Большое значение в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округе уделяется развитию малого и среднего предпринимательства, которое способствует насыщению потребительского рынка товарами и услугами, росту налоговых поступлений в бюджет округа. Малый бизнес позволяет решать такие социальные задачи, как снижение ур</w:t>
      </w:r>
      <w:r>
        <w:rPr>
          <w:sz w:val="28"/>
          <w:szCs w:val="28"/>
          <w:highlight w:val="white"/>
        </w:rPr>
        <w:t xml:space="preserve">овня безработицы и социальной напряженности, формирование среднего класса и повышение качества жизни. В деятельность малых и средних предприятий вовлечены практически все социальные группы населения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округа.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малом бизнесе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осущ</w:t>
      </w:r>
      <w:r>
        <w:rPr>
          <w:sz w:val="28"/>
          <w:szCs w:val="28"/>
          <w:highlight w:val="white"/>
        </w:rPr>
        <w:t xml:space="preserve">ествляют деятельность 651 субъект, в том числе 560 индивидуальный предприниматель и 91 малое предприятие - юридические лица. Всего в малом и среднем бизнесе задействовано свыше 1,4 тыс. человек. Кроме этого на территории </w:t>
      </w:r>
      <w:r>
        <w:rPr>
          <w:bCs/>
          <w:iCs/>
          <w:sz w:val="28"/>
          <w:szCs w:val="28"/>
        </w:rPr>
        <w:t xml:space="preserve">городского </w:t>
      </w:r>
      <w:r>
        <w:rPr>
          <w:sz w:val="28"/>
          <w:szCs w:val="28"/>
          <w:highlight w:val="white"/>
        </w:rPr>
        <w:t>округа осуществляют деят</w:t>
      </w:r>
      <w:r>
        <w:rPr>
          <w:sz w:val="28"/>
          <w:szCs w:val="28"/>
          <w:highlight w:val="white"/>
        </w:rPr>
        <w:t xml:space="preserve">ельность 783 </w:t>
      </w:r>
      <w:proofErr w:type="spellStart"/>
      <w:r>
        <w:rPr>
          <w:sz w:val="28"/>
          <w:szCs w:val="28"/>
          <w:highlight w:val="white"/>
        </w:rPr>
        <w:t>самозанятых</w:t>
      </w:r>
      <w:proofErr w:type="spellEnd"/>
      <w:r>
        <w:rPr>
          <w:sz w:val="28"/>
          <w:szCs w:val="28"/>
          <w:highlight w:val="white"/>
        </w:rPr>
        <w:t xml:space="preserve"> гражданина. Оборот в сфере малого и среднего предпринимательства за год в среднем составляет 1,75 </w:t>
      </w:r>
      <w:proofErr w:type="spellStart"/>
      <w:proofErr w:type="gramStart"/>
      <w:r>
        <w:rPr>
          <w:sz w:val="28"/>
          <w:szCs w:val="28"/>
          <w:highlight w:val="white"/>
        </w:rPr>
        <w:t>млрд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рублей. </w:t>
      </w:r>
    </w:p>
    <w:p w:rsidR="004A6EA2" w:rsidRDefault="004A6EA2">
      <w:pPr>
        <w:ind w:firstLine="708"/>
        <w:jc w:val="both"/>
        <w:rPr>
          <w:sz w:val="28"/>
          <w:szCs w:val="28"/>
          <w:highlight w:val="yellow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12. Образование. Здравоохранение. Физкультура и спорт. Культура</w:t>
      </w:r>
    </w:p>
    <w:p w:rsidR="004A6EA2" w:rsidRDefault="008022CC">
      <w:pPr>
        <w:jc w:val="both"/>
        <w:rPr>
          <w:b/>
          <w:i/>
          <w:color w:val="000000"/>
          <w:sz w:val="28"/>
          <w:highlight w:val="white"/>
        </w:rPr>
      </w:pPr>
      <w:r>
        <w:rPr>
          <w:b/>
          <w:i/>
          <w:color w:val="000000"/>
          <w:sz w:val="28"/>
          <w:highlight w:val="white"/>
        </w:rPr>
        <w:t>Образование</w:t>
      </w:r>
    </w:p>
    <w:p w:rsidR="004A6EA2" w:rsidRDefault="008022CC">
      <w:pPr>
        <w:ind w:firstLine="708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Целью системы образования Грайворонского </w:t>
      </w:r>
      <w:r>
        <w:rPr>
          <w:bCs/>
          <w:iCs/>
          <w:sz w:val="28"/>
          <w:szCs w:val="28"/>
        </w:rPr>
        <w:t>г</w:t>
      </w:r>
      <w:r>
        <w:rPr>
          <w:bCs/>
          <w:iCs/>
          <w:sz w:val="28"/>
          <w:szCs w:val="28"/>
        </w:rPr>
        <w:t xml:space="preserve">ородского </w:t>
      </w:r>
      <w:r>
        <w:rPr>
          <w:color w:val="000000"/>
          <w:sz w:val="28"/>
          <w:highlight w:val="white"/>
        </w:rPr>
        <w:t>округа является высокое качество предоставляемых образовательных услуг                         и доступность для всех без исключения категорий детей. В настоящее время образовательная сеть округа представлена 16 школами, 3 детскими садами и двумя</w:t>
      </w:r>
      <w:r>
        <w:rPr>
          <w:color w:val="000000"/>
          <w:sz w:val="28"/>
          <w:highlight w:val="white"/>
        </w:rPr>
        <w:t xml:space="preserve"> учреждениями дополнительного образования. В школах городского округа обучается 2251 школьник (ме</w:t>
      </w:r>
      <w:proofErr w:type="gramStart"/>
      <w:r>
        <w:rPr>
          <w:color w:val="000000"/>
          <w:sz w:val="28"/>
          <w:highlight w:val="white"/>
        </w:rPr>
        <w:t>ст в шк</w:t>
      </w:r>
      <w:proofErr w:type="gramEnd"/>
      <w:r>
        <w:rPr>
          <w:color w:val="000000"/>
          <w:sz w:val="28"/>
          <w:highlight w:val="white"/>
        </w:rPr>
        <w:t>олах - 3816), дошкольные учреждения посещает свыше 612 детей (мест в детских садах - 976).</w:t>
      </w:r>
    </w:p>
    <w:p w:rsidR="004A6EA2" w:rsidRDefault="008022CC">
      <w:pPr>
        <w:jc w:val="both"/>
        <w:rPr>
          <w:b/>
          <w:i/>
          <w:sz w:val="28"/>
          <w:szCs w:val="28"/>
          <w:highlight w:val="white"/>
        </w:rPr>
      </w:pPr>
      <w:r>
        <w:rPr>
          <w:b/>
          <w:i/>
          <w:color w:val="000000"/>
          <w:sz w:val="28"/>
          <w:highlight w:val="white"/>
        </w:rPr>
        <w:t>Здравоохранение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Охрана здоровья населения является одним из п</w:t>
      </w:r>
      <w:r>
        <w:rPr>
          <w:sz w:val="28"/>
          <w:szCs w:val="28"/>
          <w:highlight w:val="white"/>
        </w:rPr>
        <w:t xml:space="preserve">риоритетных направлений социальной политики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округа. Медицинскую помощь населению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оказывают </w:t>
      </w:r>
      <w:proofErr w:type="spellStart"/>
      <w:r>
        <w:rPr>
          <w:sz w:val="28"/>
          <w:szCs w:val="28"/>
          <w:highlight w:val="white"/>
        </w:rPr>
        <w:t>Грайворонская</w:t>
      </w:r>
      <w:proofErr w:type="spellEnd"/>
      <w:r>
        <w:rPr>
          <w:sz w:val="28"/>
          <w:szCs w:val="28"/>
          <w:highlight w:val="white"/>
        </w:rPr>
        <w:t xml:space="preserve"> центральная больница с поликлиникой на 400 посещений</w:t>
      </w:r>
      <w:r>
        <w:rPr>
          <w:bCs/>
          <w:sz w:val="28"/>
          <w:szCs w:val="28"/>
          <w:highlight w:val="white"/>
        </w:rPr>
        <w:t xml:space="preserve"> в смену, </w:t>
      </w:r>
      <w:proofErr w:type="spellStart"/>
      <w:r>
        <w:rPr>
          <w:bCs/>
          <w:sz w:val="28"/>
          <w:szCs w:val="28"/>
          <w:highlight w:val="white"/>
        </w:rPr>
        <w:t>Головчинская</w:t>
      </w:r>
      <w:proofErr w:type="spellEnd"/>
      <w:r>
        <w:rPr>
          <w:bCs/>
          <w:sz w:val="28"/>
          <w:szCs w:val="28"/>
          <w:highlight w:val="white"/>
        </w:rPr>
        <w:t xml:space="preserve"> участковая больница, Психиатриче</w:t>
      </w:r>
      <w:r>
        <w:rPr>
          <w:bCs/>
          <w:sz w:val="28"/>
          <w:szCs w:val="28"/>
          <w:highlight w:val="white"/>
        </w:rPr>
        <w:t xml:space="preserve">ская больница, 5 </w:t>
      </w:r>
      <w:proofErr w:type="spellStart"/>
      <w:r>
        <w:rPr>
          <w:bCs/>
          <w:sz w:val="28"/>
          <w:szCs w:val="28"/>
          <w:highlight w:val="white"/>
        </w:rPr>
        <w:t>амбулаторно</w:t>
      </w:r>
      <w:proofErr w:type="spellEnd"/>
      <w:r>
        <w:rPr>
          <w:bCs/>
          <w:sz w:val="28"/>
          <w:szCs w:val="28"/>
          <w:highlight w:val="white"/>
        </w:rPr>
        <w:t xml:space="preserve"> поликлинических учреждений </w:t>
      </w:r>
      <w:r>
        <w:rPr>
          <w:sz w:val="28"/>
          <w:szCs w:val="28"/>
          <w:highlight w:val="white"/>
        </w:rPr>
        <w:t>и 25 фельдшерско-акушерских пунктов.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Наряду с работой амбулаторно-поликлинических учреждений в </w:t>
      </w:r>
      <w:proofErr w:type="gramStart"/>
      <w:r>
        <w:rPr>
          <w:bCs/>
          <w:iCs/>
          <w:sz w:val="28"/>
          <w:szCs w:val="28"/>
        </w:rPr>
        <w:t>городского</w:t>
      </w:r>
      <w:proofErr w:type="gramEnd"/>
      <w:r>
        <w:rPr>
          <w:sz w:val="28"/>
          <w:szCs w:val="28"/>
          <w:highlight w:val="white"/>
        </w:rPr>
        <w:t xml:space="preserve"> округе налажена выездная работа. Это проведение профилактических осмотров детей, женщин, диспа</w:t>
      </w:r>
      <w:r>
        <w:rPr>
          <w:sz w:val="28"/>
          <w:szCs w:val="28"/>
          <w:highlight w:val="white"/>
        </w:rPr>
        <w:t xml:space="preserve">нсерных больных. Проводится целенаправленная работа по раннему выявлению заболеваний, своевременной постановке на учет и оздоровлению. </w:t>
      </w:r>
    </w:p>
    <w:p w:rsidR="004A6EA2" w:rsidRDefault="008022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 xml:space="preserve">Значительно укрепилась материальная база </w:t>
      </w:r>
      <w:proofErr w:type="spellStart"/>
      <w:r>
        <w:rPr>
          <w:sz w:val="28"/>
          <w:szCs w:val="28"/>
        </w:rPr>
        <w:t>Грайворонской</w:t>
      </w:r>
      <w:proofErr w:type="spellEnd"/>
      <w:r>
        <w:rPr>
          <w:sz w:val="28"/>
          <w:szCs w:val="28"/>
        </w:rPr>
        <w:t xml:space="preserve"> ЦРБ.  </w:t>
      </w:r>
      <w:r>
        <w:rPr>
          <w:bCs/>
          <w:sz w:val="28"/>
          <w:szCs w:val="28"/>
        </w:rPr>
        <w:t>В  2023 году  приобрели медицинское оборудование</w:t>
      </w:r>
      <w:r>
        <w:rPr>
          <w:sz w:val="28"/>
          <w:szCs w:val="28"/>
        </w:rPr>
        <w:t xml:space="preserve"> для отделения реанимации, в кабинеты ультразвуковой и функциональной диагностики, эндоскопическое оборудование. </w:t>
      </w:r>
      <w:proofErr w:type="gramStart"/>
      <w:r>
        <w:rPr>
          <w:bCs/>
          <w:sz w:val="28"/>
          <w:szCs w:val="28"/>
        </w:rPr>
        <w:t xml:space="preserve">Введено в эксплуатацию 3 фельдшерско-акушерских пункта в селах </w:t>
      </w:r>
      <w:proofErr w:type="spellStart"/>
      <w:r>
        <w:rPr>
          <w:bCs/>
          <w:sz w:val="28"/>
          <w:szCs w:val="28"/>
        </w:rPr>
        <w:t>Почаево</w:t>
      </w:r>
      <w:proofErr w:type="spellEnd"/>
      <w:r>
        <w:rPr>
          <w:bCs/>
          <w:sz w:val="28"/>
          <w:szCs w:val="28"/>
        </w:rPr>
        <w:t xml:space="preserve">, Луговка, </w:t>
      </w:r>
      <w:proofErr w:type="spellStart"/>
      <w:r>
        <w:rPr>
          <w:bCs/>
          <w:sz w:val="28"/>
          <w:szCs w:val="28"/>
        </w:rPr>
        <w:t>Санково</w:t>
      </w:r>
      <w:proofErr w:type="spellEnd"/>
      <w:r>
        <w:rPr>
          <w:sz w:val="28"/>
          <w:szCs w:val="28"/>
        </w:rPr>
        <w:t>.</w:t>
      </w:r>
      <w:proofErr w:type="gramEnd"/>
    </w:p>
    <w:p w:rsidR="004A6EA2" w:rsidRDefault="008022CC">
      <w:pPr>
        <w:jc w:val="both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Физкультура и спорт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Сеть спортивных сооружений в городском округе представлена Дворцом спорта, физкультурно-спортивным комплексом, ледовой ареной, 4 стадионами с трибунами, 17 спортивными залами, 25 футбольными полями, 4 хоккейными площадками, 4 плавательными бассейнами. </w:t>
      </w:r>
      <w:proofErr w:type="gramStart"/>
      <w:r>
        <w:rPr>
          <w:sz w:val="28"/>
          <w:szCs w:val="28"/>
          <w:highlight w:val="white"/>
        </w:rPr>
        <w:t xml:space="preserve">В </w:t>
      </w:r>
      <w:r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</w:t>
      </w:r>
      <w:r>
        <w:rPr>
          <w:sz w:val="28"/>
          <w:szCs w:val="28"/>
          <w:highlight w:val="white"/>
        </w:rPr>
        <w:t xml:space="preserve"> округе активно развиваются массовые виды спорта - футбол, волейбол, баскетбол, дзюдо, самбо, </w:t>
      </w:r>
      <w:proofErr w:type="spellStart"/>
      <w:r>
        <w:rPr>
          <w:sz w:val="28"/>
          <w:szCs w:val="28"/>
          <w:highlight w:val="white"/>
        </w:rPr>
        <w:t>кикбоксинг</w:t>
      </w:r>
      <w:proofErr w:type="spellEnd"/>
      <w:r>
        <w:rPr>
          <w:sz w:val="28"/>
          <w:szCs w:val="28"/>
          <w:highlight w:val="white"/>
        </w:rPr>
        <w:t xml:space="preserve">, легкая атлетика, русская лапта, настольный теннис, стрельба, лыжный спорт, хоккей. </w:t>
      </w:r>
      <w:proofErr w:type="gramEnd"/>
    </w:p>
    <w:p w:rsidR="004A6EA2" w:rsidRDefault="008022CC">
      <w:pPr>
        <w:ind w:firstLine="709"/>
        <w:jc w:val="both"/>
      </w:pPr>
      <w:r>
        <w:rPr>
          <w:sz w:val="28"/>
          <w:szCs w:val="28"/>
          <w:highlight w:val="white"/>
        </w:rPr>
        <w:t xml:space="preserve">Впервые в истории </w:t>
      </w:r>
      <w:proofErr w:type="spellStart"/>
      <w:r>
        <w:rPr>
          <w:sz w:val="28"/>
          <w:szCs w:val="28"/>
          <w:highlight w:val="white"/>
        </w:rPr>
        <w:t>грайворонского</w:t>
      </w:r>
      <w:proofErr w:type="spellEnd"/>
      <w:r>
        <w:rPr>
          <w:sz w:val="28"/>
          <w:szCs w:val="28"/>
          <w:highlight w:val="white"/>
        </w:rPr>
        <w:t xml:space="preserve"> спорта мы </w:t>
      </w:r>
      <w:r>
        <w:rPr>
          <w:sz w:val="28"/>
          <w:szCs w:val="28"/>
        </w:rPr>
        <w:t>заняли призовое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3 место в областной Спартакиаде среди сборных команд </w:t>
      </w:r>
      <w:r>
        <w:rPr>
          <w:bCs/>
          <w:i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районов и городских округов Белгородской области. </w:t>
      </w:r>
      <w:proofErr w:type="gramStart"/>
      <w:r>
        <w:rPr>
          <w:sz w:val="28"/>
          <w:szCs w:val="28"/>
        </w:rPr>
        <w:t xml:space="preserve">В легкоатлетическом забеге «Губернаторская эстафета» у </w:t>
      </w:r>
      <w:proofErr w:type="spellStart"/>
      <w:r>
        <w:rPr>
          <w:sz w:val="28"/>
          <w:szCs w:val="28"/>
        </w:rPr>
        <w:t>грайворонцев</w:t>
      </w:r>
      <w:proofErr w:type="spellEnd"/>
      <w:r>
        <w:rPr>
          <w:sz w:val="28"/>
          <w:szCs w:val="28"/>
        </w:rPr>
        <w:t xml:space="preserve"> два т</w:t>
      </w:r>
      <w:r>
        <w:rPr>
          <w:sz w:val="28"/>
          <w:szCs w:val="28"/>
        </w:rPr>
        <w:t>ретьих места в категориях «Трудовые коллективы» и «Малокомплектные</w:t>
      </w:r>
      <w:r>
        <w:rPr>
          <w:sz w:val="28"/>
          <w:szCs w:val="28"/>
        </w:rPr>
        <w:t xml:space="preserve"> школы» 2 место в военизированной эстафете и 3 место в общекомандном зачёте в областной традиционной 55-й спартакиаде допризывной и призывной молодёжи по военно-прикладным видам спорта Команда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– серебряный призёр областной </w:t>
      </w:r>
      <w:r>
        <w:rPr>
          <w:sz w:val="28"/>
          <w:szCs w:val="28"/>
        </w:rPr>
        <w:t>Спартакиады по легкой атлетике.</w:t>
      </w:r>
      <w:proofErr w:type="gramEnd"/>
    </w:p>
    <w:p w:rsidR="004A6EA2" w:rsidRDefault="008022CC">
      <w:pPr>
        <w:jc w:val="both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Культура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Сеть учреждений культуры Грайворонского </w:t>
      </w:r>
      <w:r>
        <w:rPr>
          <w:bCs/>
          <w:iCs/>
          <w:sz w:val="28"/>
          <w:szCs w:val="28"/>
          <w:highlight w:val="white"/>
        </w:rPr>
        <w:t>городского</w:t>
      </w:r>
      <w:r>
        <w:rPr>
          <w:sz w:val="28"/>
          <w:szCs w:val="28"/>
          <w:highlight w:val="white"/>
        </w:rPr>
        <w:t xml:space="preserve"> округа состоит из районного дома культуры, 7 сельских модельных домов культуры,                         2 центров культурного развития, 5 сельских домов культуры, 7</w:t>
      </w:r>
      <w:r>
        <w:rPr>
          <w:sz w:val="28"/>
          <w:szCs w:val="28"/>
          <w:highlight w:val="white"/>
        </w:rPr>
        <w:t xml:space="preserve"> сельских клубов, 1 культурно - </w:t>
      </w:r>
      <w:proofErr w:type="spellStart"/>
      <w:r>
        <w:rPr>
          <w:sz w:val="28"/>
          <w:szCs w:val="28"/>
          <w:highlight w:val="white"/>
        </w:rPr>
        <w:t>досугового</w:t>
      </w:r>
      <w:proofErr w:type="spellEnd"/>
      <w:r>
        <w:rPr>
          <w:sz w:val="28"/>
          <w:szCs w:val="28"/>
          <w:highlight w:val="white"/>
        </w:rPr>
        <w:t xml:space="preserve"> центра, кинотеатра «Космос», 2 городских библиотеки, 18 библиотек филиалов, дома ремесел, краеведческого музея, детской школы искусства. </w:t>
      </w:r>
    </w:p>
    <w:p w:rsidR="004A6EA2" w:rsidRDefault="008022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  <w:highlight w:val="white"/>
        </w:rPr>
        <w:t xml:space="preserve"> 2023 году сотрудник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сферы продолжили работу в рамках </w:t>
      </w:r>
      <w:r>
        <w:rPr>
          <w:sz w:val="28"/>
          <w:szCs w:val="28"/>
        </w:rPr>
        <w:t xml:space="preserve">национального проекта «Культура». По направлению «Творческие люди»  64 специалиста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 округа повысили свою квалификацию. В том числе в рамках национального проекта «Культура» по направлению «Творческие люди» – 6 человек.</w:t>
      </w:r>
    </w:p>
    <w:p w:rsidR="004A6EA2" w:rsidRDefault="008022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sz w:val="28"/>
          <w:szCs w:val="28"/>
        </w:rPr>
        <w:t>По напр</w:t>
      </w:r>
      <w:r>
        <w:rPr>
          <w:sz w:val="28"/>
          <w:szCs w:val="28"/>
        </w:rPr>
        <w:t>авлению нацпроекта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» продолжил свою работу виртуальный концертный зал. В прошедшем году он стал победителем Всероссийского конкурса лучших практик виртуальных концертных залов в номинации «Лучшая практика самостоятельного ВКЗ». Сумма выигрыша </w:t>
      </w:r>
      <w:r>
        <w:rPr>
          <w:sz w:val="28"/>
          <w:szCs w:val="28"/>
        </w:rPr>
        <w:t xml:space="preserve">составила 450 тысяч рублей. </w:t>
      </w:r>
    </w:p>
    <w:p w:rsidR="004A6EA2" w:rsidRDefault="008022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sz w:val="28"/>
          <w:szCs w:val="28"/>
        </w:rPr>
        <w:t xml:space="preserve">Всего в 2023 году структурными подразделениями управления культуры и молодежной политики администрации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совместно с некоммерческими организациями подано 92 заявки в различные фонды. Количество вы</w:t>
      </w:r>
      <w:r>
        <w:rPr>
          <w:sz w:val="28"/>
          <w:szCs w:val="28"/>
        </w:rPr>
        <w:t xml:space="preserve">игранных проектов - 8, на общую сумму 5 394 715,06 руб., общая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составила 2 487 880 руб. Приоритетным является конкурс на предоставление грантов Президента РФ на реализацию проектов в области культуры, искусства и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(творческ</w:t>
      </w:r>
      <w:r>
        <w:rPr>
          <w:sz w:val="28"/>
          <w:szCs w:val="28"/>
        </w:rPr>
        <w:t>их) индустрий.</w:t>
      </w:r>
    </w:p>
    <w:p w:rsidR="004A6EA2" w:rsidRDefault="008022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национального проекта «Туризм и индустрия гостеприимства» с 2022 г. реализуется </w:t>
      </w:r>
      <w:proofErr w:type="spellStart"/>
      <w:r>
        <w:rPr>
          <w:sz w:val="28"/>
          <w:szCs w:val="28"/>
          <w:highlight w:val="white"/>
        </w:rPr>
        <w:t>пилотный</w:t>
      </w:r>
      <w:proofErr w:type="spellEnd"/>
      <w:r>
        <w:rPr>
          <w:sz w:val="28"/>
          <w:szCs w:val="28"/>
          <w:highlight w:val="white"/>
        </w:rPr>
        <w:t xml:space="preserve"> проект бесплатных путешествий для детей-школьников 5-9 классов. В 2023 году в рамках этого </w:t>
      </w:r>
      <w:r>
        <w:rPr>
          <w:sz w:val="28"/>
          <w:szCs w:val="28"/>
          <w:highlight w:val="white"/>
        </w:rPr>
        <w:lastRenderedPageBreak/>
        <w:t xml:space="preserve">проекта 240 школьников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</w:t>
      </w:r>
      <w:r>
        <w:rPr>
          <w:sz w:val="28"/>
          <w:szCs w:val="28"/>
          <w:highlight w:val="white"/>
        </w:rPr>
        <w:t>уга посетили туристические объекты Белгородской области.</w:t>
      </w:r>
    </w:p>
    <w:p w:rsidR="004A6EA2" w:rsidRDefault="004A6EA2">
      <w:pPr>
        <w:jc w:val="both"/>
        <w:rPr>
          <w:sz w:val="28"/>
          <w:szCs w:val="28"/>
          <w:highlight w:val="white"/>
          <w:shd w:val="clear" w:color="FFFFFF" w:fill="FFFFFF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13. Стратегия социально-экономического развития Грайворонского городского округа</w:t>
      </w:r>
    </w:p>
    <w:p w:rsidR="004A6EA2" w:rsidRDefault="004A6EA2">
      <w:pPr>
        <w:jc w:val="both"/>
        <w:rPr>
          <w:b/>
          <w:sz w:val="28"/>
          <w:szCs w:val="28"/>
          <w:highlight w:val="white"/>
        </w:rPr>
      </w:pPr>
    </w:p>
    <w:p w:rsidR="004A6EA2" w:rsidRDefault="008022CC">
      <w:pPr>
        <w:jc w:val="both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13.1. Основная цель и задачи развития городского округа</w:t>
      </w:r>
    </w:p>
    <w:p w:rsidR="004A6EA2" w:rsidRDefault="008022CC">
      <w:pPr>
        <w:ind w:firstLine="708"/>
        <w:jc w:val="both"/>
        <w:rPr>
          <w:bCs/>
          <w:iCs/>
          <w:spacing w:val="-1"/>
          <w:sz w:val="28"/>
          <w:szCs w:val="28"/>
          <w:highlight w:val="white"/>
        </w:rPr>
      </w:pPr>
      <w:r>
        <w:rPr>
          <w:bCs/>
          <w:spacing w:val="-1"/>
          <w:sz w:val="28"/>
          <w:szCs w:val="28"/>
          <w:highlight w:val="white"/>
        </w:rPr>
        <w:t>Стратегическая цель развития городского округа</w:t>
      </w:r>
      <w:r>
        <w:rPr>
          <w:spacing w:val="-2"/>
          <w:sz w:val="28"/>
          <w:szCs w:val="28"/>
          <w:highlight w:val="white"/>
        </w:rPr>
        <w:t xml:space="preserve"> сформули</w:t>
      </w:r>
      <w:r>
        <w:rPr>
          <w:spacing w:val="-2"/>
          <w:sz w:val="28"/>
          <w:szCs w:val="28"/>
          <w:highlight w:val="white"/>
        </w:rPr>
        <w:t xml:space="preserve">рована следующим образом - </w:t>
      </w:r>
      <w:r>
        <w:rPr>
          <w:bCs/>
          <w:iCs/>
          <w:spacing w:val="-1"/>
          <w:sz w:val="28"/>
          <w:szCs w:val="28"/>
          <w:highlight w:val="white"/>
        </w:rPr>
        <w:t xml:space="preserve">«Стабильное повышение качества жизни населения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bCs/>
          <w:iCs/>
          <w:spacing w:val="-1"/>
          <w:sz w:val="28"/>
          <w:szCs w:val="28"/>
          <w:highlight w:val="white"/>
        </w:rPr>
        <w:t xml:space="preserve"> округа на основе экономического роста, социального благополучия, привлечения внутренних и внешних инвестиций».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развития городского округа: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Эффективное функционирование сельскохозяйственного и промышленного потенциала на основании внедрения в производство передового отечественного и зарубежного опыта, применении инновационных технологий с целью повышения конкурентоспособности производимой п</w:t>
      </w:r>
      <w:r>
        <w:rPr>
          <w:sz w:val="28"/>
          <w:szCs w:val="28"/>
          <w:highlight w:val="white"/>
        </w:rPr>
        <w:t>родукции;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Сохранение экономического роста, контроль состояния рынка труда, ведение режима экономии, мониторинг цен на потребительском рынке;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Устойчивое развитие сельских территорий на основе мобилизации внутренних ресурсов при безусловной поддержке р</w:t>
      </w:r>
      <w:r>
        <w:rPr>
          <w:sz w:val="28"/>
          <w:szCs w:val="28"/>
          <w:highlight w:val="white"/>
        </w:rPr>
        <w:t>егионального бюджета и привлечении малого и среднего бизнеса;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Реализация средних и крупных инвестиционных проектов;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Стимулирование развития малого и среднего бизнеса.</w:t>
      </w:r>
    </w:p>
    <w:p w:rsidR="004A6EA2" w:rsidRDefault="008022CC">
      <w:pPr>
        <w:jc w:val="both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13.2. Определение стратегических направлений развития городского округа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основе г</w:t>
      </w:r>
      <w:r>
        <w:rPr>
          <w:sz w:val="28"/>
          <w:szCs w:val="28"/>
          <w:highlight w:val="white"/>
        </w:rPr>
        <w:t xml:space="preserve">лавной цели сформулированы приоритетные направления социально-экономического развития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округа: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rStyle w:val="af3"/>
          <w:b w:val="0"/>
          <w:sz w:val="28"/>
          <w:szCs w:val="28"/>
          <w:highlight w:val="white"/>
        </w:rPr>
        <w:t>1. С</w:t>
      </w:r>
      <w:r>
        <w:rPr>
          <w:sz w:val="28"/>
          <w:szCs w:val="28"/>
          <w:highlight w:val="white"/>
        </w:rPr>
        <w:t xml:space="preserve">охранение и развитие экономического </w:t>
      </w:r>
      <w:proofErr w:type="spellStart"/>
      <w:r>
        <w:rPr>
          <w:sz w:val="28"/>
          <w:szCs w:val="28"/>
          <w:highlight w:val="white"/>
        </w:rPr>
        <w:t>инновационно</w:t>
      </w:r>
      <w:proofErr w:type="spellEnd"/>
      <w:r>
        <w:rPr>
          <w:sz w:val="28"/>
          <w:szCs w:val="28"/>
          <w:highlight w:val="white"/>
        </w:rPr>
        <w:t xml:space="preserve"> ориентированного потенциала </w:t>
      </w:r>
      <w:r>
        <w:rPr>
          <w:spacing w:val="-2"/>
          <w:sz w:val="28"/>
          <w:szCs w:val="28"/>
          <w:highlight w:val="white"/>
        </w:rPr>
        <w:t xml:space="preserve">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pacing w:val="-2"/>
          <w:sz w:val="28"/>
          <w:szCs w:val="28"/>
          <w:highlight w:val="white"/>
        </w:rPr>
        <w:t xml:space="preserve"> округа</w:t>
      </w:r>
      <w:r>
        <w:rPr>
          <w:sz w:val="28"/>
          <w:szCs w:val="28"/>
          <w:highlight w:val="white"/>
        </w:rPr>
        <w:t>;</w:t>
      </w:r>
    </w:p>
    <w:p w:rsidR="004A6EA2" w:rsidRDefault="008022CC">
      <w:pPr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>2. Социальное развитие и обеспечение</w:t>
      </w:r>
      <w:r>
        <w:rPr>
          <w:spacing w:val="-2"/>
          <w:sz w:val="28"/>
          <w:szCs w:val="28"/>
          <w:highlight w:val="white"/>
        </w:rPr>
        <w:t xml:space="preserve"> социальной справедливости на территории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pacing w:val="-2"/>
          <w:sz w:val="28"/>
          <w:szCs w:val="28"/>
          <w:highlight w:val="white"/>
        </w:rPr>
        <w:t xml:space="preserve"> округа;</w:t>
      </w:r>
    </w:p>
    <w:p w:rsidR="004A6EA2" w:rsidRDefault="008022CC">
      <w:pPr>
        <w:jc w:val="both"/>
        <w:rPr>
          <w:spacing w:val="2"/>
          <w:sz w:val="28"/>
          <w:szCs w:val="28"/>
          <w:highlight w:val="white"/>
        </w:rPr>
      </w:pPr>
      <w:r>
        <w:rPr>
          <w:spacing w:val="2"/>
          <w:sz w:val="28"/>
          <w:szCs w:val="28"/>
          <w:highlight w:val="white"/>
        </w:rPr>
        <w:t xml:space="preserve">3. Обеспечение высокого качества жизни населения в </w:t>
      </w:r>
      <w:proofErr w:type="spellStart"/>
      <w:r>
        <w:rPr>
          <w:spacing w:val="2"/>
          <w:sz w:val="28"/>
          <w:szCs w:val="28"/>
          <w:highlight w:val="white"/>
        </w:rPr>
        <w:t>Грайворонском</w:t>
      </w:r>
      <w:proofErr w:type="spellEnd"/>
      <w:r>
        <w:rPr>
          <w:spacing w:val="2"/>
          <w:sz w:val="28"/>
          <w:szCs w:val="28"/>
          <w:highlight w:val="white"/>
        </w:rPr>
        <w:t xml:space="preserve"> </w:t>
      </w:r>
      <w:r>
        <w:rPr>
          <w:bCs/>
          <w:iCs/>
          <w:sz w:val="28"/>
          <w:szCs w:val="28"/>
        </w:rPr>
        <w:t>городского</w:t>
      </w:r>
      <w:r>
        <w:rPr>
          <w:spacing w:val="2"/>
          <w:sz w:val="28"/>
          <w:szCs w:val="28"/>
          <w:highlight w:val="white"/>
        </w:rPr>
        <w:t xml:space="preserve"> округе.</w:t>
      </w:r>
    </w:p>
    <w:p w:rsidR="004A6EA2" w:rsidRDefault="004A6EA2">
      <w:pPr>
        <w:jc w:val="both"/>
        <w:rPr>
          <w:spacing w:val="2"/>
          <w:sz w:val="28"/>
          <w:szCs w:val="28"/>
          <w:highlight w:val="white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14. Инвестиционный климат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Инвестиционная политика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ориентирована</w:t>
      </w:r>
      <w:r>
        <w:rPr>
          <w:sz w:val="28"/>
          <w:szCs w:val="28"/>
          <w:highlight w:val="white"/>
        </w:rPr>
        <w:t xml:space="preserve"> на реализацию комплекса мер, предусматривающих рациональное использование инвестиционного потенциала и качественное улучшение инвестиционного климата, создающего условия для притока инвестиций в решение стратегических задач модернизации экономики и обновл</w:t>
      </w:r>
      <w:r>
        <w:rPr>
          <w:sz w:val="28"/>
          <w:szCs w:val="28"/>
          <w:highlight w:val="white"/>
        </w:rPr>
        <w:t xml:space="preserve">ения производственной сферы. 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Конкурентными преимуществами Грайворонского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являются: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Приграничное положение  округа;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2. Удаленность от областного центра – 79 км</w:t>
      </w:r>
      <w:proofErr w:type="gramStart"/>
      <w:r>
        <w:rPr>
          <w:sz w:val="28"/>
          <w:szCs w:val="28"/>
          <w:highlight w:val="white"/>
        </w:rPr>
        <w:t>.;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proofErr w:type="gramEnd"/>
      <w:r>
        <w:rPr>
          <w:sz w:val="28"/>
          <w:szCs w:val="28"/>
          <w:highlight w:val="white"/>
        </w:rPr>
        <w:t>3. Природно-ресурсный потенциал: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благоприятный климат,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наличие черноземов,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наличие водных объектов,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наличие земельных ресурсов и свободных площадок для сельскохозяйственного и промышленного использования;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Стабильная демографическая ситуация с тенденцией роста;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Наличие транспортной сети способствующ</w:t>
      </w:r>
      <w:r>
        <w:rPr>
          <w:sz w:val="28"/>
          <w:szCs w:val="28"/>
          <w:highlight w:val="white"/>
        </w:rPr>
        <w:t>ей развитию сельскохозяйственного производства и малого предпринимательства;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Полная газификация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округа.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Приоритетными направлениями инвестиционной деятельности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является развитие сельскохозяйственного производства, организаци</w:t>
      </w:r>
      <w:r>
        <w:rPr>
          <w:sz w:val="28"/>
          <w:szCs w:val="28"/>
          <w:highlight w:val="white"/>
        </w:rPr>
        <w:t xml:space="preserve">я новых производств, 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Инвестиционная политика администрации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округа направлена на содействие продвижению социально-значимых для территории, эффективных инвестиционных проектов организаций, оказание помощи в поиске партнеров и финансовых средств, </w:t>
      </w:r>
      <w:r>
        <w:rPr>
          <w:sz w:val="28"/>
          <w:szCs w:val="28"/>
          <w:highlight w:val="white"/>
        </w:rPr>
        <w:t xml:space="preserve">предложение инвесторам земельных участков. За 2023 год объём инвестиций в основной капитал по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  <w:highlight w:val="white"/>
        </w:rPr>
        <w:t xml:space="preserve"> округу составил 1242,0 </w:t>
      </w:r>
      <w:proofErr w:type="spellStart"/>
      <w:proofErr w:type="gramStart"/>
      <w:r>
        <w:rPr>
          <w:sz w:val="28"/>
          <w:szCs w:val="28"/>
          <w:highlight w:val="white"/>
        </w:rPr>
        <w:t>млн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рублей. В видовой структуре инвестиций в основной капитал основную долю составляют инвестиции в сельское хозяйство, в индиви</w:t>
      </w:r>
      <w:r>
        <w:rPr>
          <w:sz w:val="28"/>
          <w:szCs w:val="28"/>
          <w:highlight w:val="white"/>
        </w:rPr>
        <w:t>дуальное жилищное строительство, в социальную сферу и объекты культуры.</w:t>
      </w:r>
    </w:p>
    <w:p w:rsidR="004A6EA2" w:rsidRDefault="008022C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По состоянию на 1 января 2024 года на территории Грайворонского городского округа реализуется 4 </w:t>
      </w:r>
      <w:proofErr w:type="gramStart"/>
      <w:r>
        <w:rPr>
          <w:sz w:val="28"/>
          <w:szCs w:val="28"/>
          <w:highlight w:val="white"/>
        </w:rPr>
        <w:t>инвестиционных</w:t>
      </w:r>
      <w:proofErr w:type="gramEnd"/>
      <w:r>
        <w:rPr>
          <w:sz w:val="28"/>
          <w:szCs w:val="28"/>
          <w:highlight w:val="white"/>
        </w:rPr>
        <w:t xml:space="preserve"> проекта. При реализации этих инвестиционных проектов будет освоено 53,09 </w:t>
      </w:r>
      <w:proofErr w:type="spellStart"/>
      <w:proofErr w:type="gramStart"/>
      <w:r>
        <w:rPr>
          <w:sz w:val="28"/>
          <w:szCs w:val="28"/>
          <w:highlight w:val="white"/>
        </w:rPr>
        <w:t>млн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рублей.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динамику инвестиций в основной капитал значительно влияют средства крупных и средних предприятий и организаций, в частности, таких предприятий, как ООО «</w:t>
      </w:r>
      <w:proofErr w:type="spellStart"/>
      <w:r>
        <w:rPr>
          <w:sz w:val="28"/>
          <w:szCs w:val="28"/>
          <w:highlight w:val="white"/>
        </w:rPr>
        <w:t>Грайворонская</w:t>
      </w:r>
      <w:proofErr w:type="spellEnd"/>
      <w:r>
        <w:rPr>
          <w:sz w:val="28"/>
          <w:szCs w:val="28"/>
          <w:highlight w:val="white"/>
        </w:rPr>
        <w:t xml:space="preserve"> молочная компания»,                              ООО «</w:t>
      </w:r>
      <w:proofErr w:type="spellStart"/>
      <w:r>
        <w:rPr>
          <w:sz w:val="28"/>
          <w:szCs w:val="28"/>
          <w:highlight w:val="white"/>
        </w:rPr>
        <w:t>Грайворон-агроинвест</w:t>
      </w:r>
      <w:proofErr w:type="spellEnd"/>
      <w:r>
        <w:rPr>
          <w:sz w:val="28"/>
          <w:szCs w:val="28"/>
          <w:highlight w:val="white"/>
        </w:rPr>
        <w:t xml:space="preserve">», филиал ООО «ТД </w:t>
      </w:r>
      <w:proofErr w:type="spellStart"/>
      <w:r>
        <w:rPr>
          <w:sz w:val="28"/>
          <w:szCs w:val="28"/>
          <w:highlight w:val="white"/>
        </w:rPr>
        <w:t>Агроинновация</w:t>
      </w:r>
      <w:proofErr w:type="spellEnd"/>
      <w:r>
        <w:rPr>
          <w:sz w:val="28"/>
          <w:szCs w:val="28"/>
          <w:highlight w:val="white"/>
        </w:rPr>
        <w:t xml:space="preserve"> сахарный комбинат «Большевик». За счет собственных и привлеченных средств ведется строительство и реконструкция производственных помещений, цехов, приобретается оборудование и техника.</w:t>
      </w:r>
    </w:p>
    <w:p w:rsidR="004A6EA2" w:rsidRDefault="008022CC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Деятельность администрации городского округа в направлении инвестиционной деятельности осуществляется в соответствии с Уставом Грайворонского городского округа и нормативными актами.</w:t>
      </w:r>
    </w:p>
    <w:p w:rsidR="004A6EA2" w:rsidRDefault="004A6EA2">
      <w:pPr>
        <w:jc w:val="both"/>
        <w:rPr>
          <w:b/>
          <w:sz w:val="28"/>
          <w:szCs w:val="28"/>
          <w:highlight w:val="yellow"/>
        </w:rPr>
      </w:pP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15. Инвестиционные проекты</w:t>
      </w:r>
    </w:p>
    <w:p w:rsidR="004A6EA2" w:rsidRDefault="008022CC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Крупные инвестиционные проекты, реализуемые н</w:t>
      </w:r>
      <w:r>
        <w:rPr>
          <w:b/>
          <w:sz w:val="28"/>
          <w:szCs w:val="28"/>
          <w:highlight w:val="white"/>
        </w:rPr>
        <w:t>а территории Грайворонского городского округа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Создание сада интенсивного типа с капельным орошением. Общий объем инвестиций - 1471,5 </w:t>
      </w:r>
      <w:proofErr w:type="spellStart"/>
      <w:proofErr w:type="gramStart"/>
      <w:r>
        <w:rPr>
          <w:sz w:val="28"/>
          <w:szCs w:val="28"/>
          <w:highlight w:val="white"/>
        </w:rPr>
        <w:t>млн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руб.</w:t>
      </w:r>
    </w:p>
    <w:p w:rsidR="004A6EA2" w:rsidRDefault="008022CC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2. Создание хозяйства по разведению рыбы ценных </w:t>
      </w:r>
      <w:proofErr w:type="spellStart"/>
      <w:r>
        <w:rPr>
          <w:sz w:val="28"/>
          <w:szCs w:val="28"/>
          <w:highlight w:val="white"/>
        </w:rPr>
        <w:t>пород</w:t>
      </w:r>
      <w:proofErr w:type="gramStart"/>
      <w:r>
        <w:rPr>
          <w:sz w:val="28"/>
          <w:szCs w:val="28"/>
          <w:highlight w:val="white"/>
        </w:rPr>
        <w:t>:о</w:t>
      </w:r>
      <w:proofErr w:type="gramEnd"/>
      <w:r>
        <w:rPr>
          <w:sz w:val="28"/>
          <w:szCs w:val="28"/>
          <w:highlight w:val="white"/>
        </w:rPr>
        <w:t>сетр</w:t>
      </w:r>
      <w:proofErr w:type="spellEnd"/>
      <w:r>
        <w:rPr>
          <w:sz w:val="28"/>
          <w:szCs w:val="28"/>
          <w:highlight w:val="white"/>
        </w:rPr>
        <w:t xml:space="preserve"> и форель на базе индивидуального предпринимателя гл</w:t>
      </w:r>
      <w:r>
        <w:rPr>
          <w:sz w:val="28"/>
          <w:szCs w:val="28"/>
          <w:highlight w:val="white"/>
        </w:rPr>
        <w:t xml:space="preserve">авы крестьянско-фермерского хозяйства Бондарь С.А. Общий объем  инвестиций – 3,119 </w:t>
      </w:r>
      <w:proofErr w:type="spellStart"/>
      <w:r>
        <w:rPr>
          <w:sz w:val="28"/>
          <w:szCs w:val="28"/>
          <w:highlight w:val="white"/>
        </w:rPr>
        <w:t>млн</w:t>
      </w:r>
      <w:proofErr w:type="spellEnd"/>
      <w:r>
        <w:rPr>
          <w:sz w:val="28"/>
          <w:szCs w:val="28"/>
          <w:highlight w:val="white"/>
        </w:rPr>
        <w:t xml:space="preserve"> руб.</w:t>
      </w:r>
    </w:p>
    <w:p w:rsidR="004A6EA2" w:rsidRDefault="008022CC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Создание рыбоводческого предприятия по производству форели на базе индивидуального предпринимателя главы крестьянско-фермерского хозяйства Бражник Д.А. Общий объ</w:t>
      </w:r>
      <w:r>
        <w:rPr>
          <w:sz w:val="28"/>
          <w:szCs w:val="28"/>
          <w:highlight w:val="white"/>
        </w:rPr>
        <w:t xml:space="preserve">ем  инвестиций – 13,14 </w:t>
      </w:r>
      <w:proofErr w:type="spellStart"/>
      <w:proofErr w:type="gramStart"/>
      <w:r>
        <w:rPr>
          <w:sz w:val="28"/>
          <w:szCs w:val="28"/>
          <w:highlight w:val="white"/>
        </w:rPr>
        <w:t>млн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руб.</w:t>
      </w:r>
    </w:p>
    <w:p w:rsidR="004A6EA2" w:rsidRDefault="008022CC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4. Создание хозяйства по выращиванию сельскохозяйственной птицы на базе индивидуального предпринимателя главы крестьянско-фермерского хозяйства Спиридонов В.А. Общий объем  инвестиций – 3,45 </w:t>
      </w:r>
      <w:proofErr w:type="spellStart"/>
      <w:proofErr w:type="gramStart"/>
      <w:r>
        <w:rPr>
          <w:sz w:val="28"/>
          <w:szCs w:val="28"/>
          <w:highlight w:val="white"/>
        </w:rPr>
        <w:t>млн</w:t>
      </w:r>
      <w:proofErr w:type="spellEnd"/>
      <w:proofErr w:type="gramEnd"/>
      <w:r>
        <w:rPr>
          <w:sz w:val="28"/>
          <w:szCs w:val="28"/>
          <w:highlight w:val="white"/>
        </w:rPr>
        <w:t xml:space="preserve"> руб.</w:t>
      </w:r>
    </w:p>
    <w:p w:rsidR="004A6EA2" w:rsidRDefault="004A6EA2">
      <w:pPr>
        <w:jc w:val="both"/>
        <w:rPr>
          <w:b/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Инфраструктура для </w:t>
      </w:r>
      <w:r>
        <w:rPr>
          <w:b/>
          <w:sz w:val="28"/>
          <w:szCs w:val="28"/>
        </w:rPr>
        <w:t>осуществления инвестиционной деятельности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инвестиционных площадок Грайворонского </w:t>
      </w:r>
      <w:r>
        <w:rPr>
          <w:bCs/>
          <w:iCs/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находится 3 площадки. По каждой составлены инвестиционные паспорта.</w:t>
      </w:r>
    </w:p>
    <w:p w:rsidR="00C855D7" w:rsidRDefault="00C855D7">
      <w:pPr>
        <w:rPr>
          <w:b/>
          <w:sz w:val="28"/>
          <w:szCs w:val="28"/>
        </w:rPr>
      </w:pPr>
    </w:p>
    <w:p w:rsidR="004A6EA2" w:rsidRDefault="00802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 Туризм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Сельский туризм в </w:t>
      </w:r>
      <w:proofErr w:type="spellStart"/>
      <w:r>
        <w:rPr>
          <w:sz w:val="28"/>
          <w:szCs w:val="28"/>
        </w:rPr>
        <w:t>Грайворонском</w:t>
      </w:r>
      <w:proofErr w:type="spellEnd"/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округе тесно связан с развитием не только рекреационной сферы в сельской местности, но и со сферой услуг, транспортом, связью, торговлей, производством продуктов питания и т.д. </w:t>
      </w:r>
      <w:proofErr w:type="gramEnd"/>
    </w:p>
    <w:p w:rsidR="004A6EA2" w:rsidRDefault="008022CC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Грайворонском</w:t>
      </w:r>
      <w:proofErr w:type="spellEnd"/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округе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аходятся всего 149 объектов культурного наследия, в том числе поставленных в государственный реестр 103 объекта и выявленных – 46. </w:t>
      </w:r>
    </w:p>
    <w:p w:rsidR="004A6EA2" w:rsidRDefault="008022CC">
      <w:pPr>
        <w:tabs>
          <w:tab w:val="left" w:pos="851"/>
          <w:tab w:val="left" w:pos="1134"/>
        </w:tabs>
        <w:ind w:firstLine="851"/>
        <w:jc w:val="both"/>
      </w:pPr>
      <w:r>
        <w:rPr>
          <w:sz w:val="28"/>
          <w:szCs w:val="28"/>
        </w:rPr>
        <w:t>Из них: 50 памятников архитектуры, 37 памятников истории, 62 памятника археологии и 1 памятник садово-паркового искусства.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идирующие позиции занимает экскурсионный вид туристической деятельности, так как Грайворонский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 чистый зеленый край с богатой историей и культурой, неразрывно связанный с именами Святителя </w:t>
      </w:r>
      <w:proofErr w:type="spellStart"/>
      <w:r>
        <w:rPr>
          <w:sz w:val="28"/>
          <w:szCs w:val="28"/>
        </w:rPr>
        <w:t>Иоасафа</w:t>
      </w:r>
      <w:proofErr w:type="spellEnd"/>
      <w:r>
        <w:rPr>
          <w:sz w:val="28"/>
          <w:szCs w:val="28"/>
        </w:rPr>
        <w:t xml:space="preserve"> Белгородского и выдающегося инженера В.Г. Ш</w:t>
      </w:r>
      <w:r>
        <w:rPr>
          <w:sz w:val="28"/>
          <w:szCs w:val="28"/>
        </w:rPr>
        <w:t>ухова.</w:t>
      </w:r>
    </w:p>
    <w:p w:rsidR="004A6EA2" w:rsidRDefault="008022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Грайворон действует музейная выставка имени Шухова, которая </w:t>
      </w:r>
      <w:r>
        <w:rPr>
          <w:rFonts w:ascii="Times New Roman" w:eastAsia="Calibri" w:hAnsi="Times New Roman"/>
          <w:sz w:val="28"/>
          <w:szCs w:val="28"/>
        </w:rPr>
        <w:t>предоставляет широкие возможности познакомиться                       с жизнью и деятельностью нашего гениального земляка, заслужившего славу «одного из лучших инженеров вс</w:t>
      </w:r>
      <w:r>
        <w:rPr>
          <w:rFonts w:ascii="Times New Roman" w:eastAsia="Calibri" w:hAnsi="Times New Roman"/>
          <w:sz w:val="28"/>
          <w:szCs w:val="28"/>
        </w:rPr>
        <w:t>ех времен и народов».</w:t>
      </w:r>
      <w:r>
        <w:rPr>
          <w:rFonts w:ascii="Times New Roman" w:hAnsi="Times New Roman"/>
          <w:sz w:val="28"/>
          <w:szCs w:val="28"/>
        </w:rPr>
        <w:t xml:space="preserve"> Находится музей                     в средней школе имени В.Г.Шухова, в оборудованном и оформленном по современным требованиям помещении. Именем В.Г.Шухова назван парк, где находится его скульптура.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Событийный туризм органично вписыва</w:t>
      </w:r>
      <w:r>
        <w:rPr>
          <w:sz w:val="28"/>
        </w:rPr>
        <w:t xml:space="preserve">ется в программу развития сельского туризма в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</w:rPr>
        <w:t xml:space="preserve"> округе.</w:t>
      </w:r>
      <w:proofErr w:type="gramEnd"/>
      <w:r>
        <w:rPr>
          <w:sz w:val="28"/>
        </w:rPr>
        <w:t xml:space="preserve"> Охват туристов за ряд лет в услугах, связанных с обрядами, хороводами, традициями, составляет около 35% от общего туристского потока.</w:t>
      </w:r>
      <w:r>
        <w:rPr>
          <w:sz w:val="36"/>
          <w:szCs w:val="28"/>
        </w:rPr>
        <w:t xml:space="preserve"> </w:t>
      </w:r>
    </w:p>
    <w:p w:rsidR="004A6EA2" w:rsidRDefault="00802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Грайворонский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 открыт для новых серьезных проектов в различных сферах бизнеса. Мы готовы достойно встретить предпринимателей и предлагаем взаимовыгодные условия, сотрудничество и всестороннюю поддержку в реализации привлекательных </w:t>
      </w:r>
      <w:proofErr w:type="spellStart"/>
      <w:proofErr w:type="gramStart"/>
      <w:r>
        <w:rPr>
          <w:sz w:val="28"/>
          <w:szCs w:val="28"/>
        </w:rPr>
        <w:t>бизнес-идей</w:t>
      </w:r>
      <w:proofErr w:type="spellEnd"/>
      <w:proofErr w:type="gramEnd"/>
      <w:r>
        <w:rPr>
          <w:sz w:val="28"/>
          <w:szCs w:val="28"/>
        </w:rPr>
        <w:t xml:space="preserve">. Мы </w:t>
      </w:r>
      <w:r>
        <w:rPr>
          <w:sz w:val="28"/>
          <w:szCs w:val="28"/>
        </w:rPr>
        <w:lastRenderedPageBreak/>
        <w:t>готовы сделать вс</w:t>
      </w:r>
      <w:r>
        <w:rPr>
          <w:sz w:val="28"/>
          <w:szCs w:val="28"/>
        </w:rPr>
        <w:t xml:space="preserve">е, чтобы потенциальным инвесторам было выгодно                          и комфортно работать и развивать свой бизнес на территории нашего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округа. </w:t>
      </w:r>
    </w:p>
    <w:p w:rsidR="004A6EA2" w:rsidRDefault="004A6EA2">
      <w:pPr>
        <w:ind w:firstLine="708"/>
        <w:jc w:val="both"/>
        <w:rPr>
          <w:sz w:val="28"/>
          <w:szCs w:val="28"/>
        </w:rPr>
      </w:pPr>
    </w:p>
    <w:p w:rsidR="004A6EA2" w:rsidRDefault="0080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Контактная информация для инвестора</w:t>
      </w:r>
    </w:p>
    <w:p w:rsidR="004A6EA2" w:rsidRDefault="00802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Ханюков</w:t>
      </w:r>
      <w:proofErr w:type="spellEnd"/>
      <w:r>
        <w:rPr>
          <w:sz w:val="28"/>
          <w:szCs w:val="28"/>
        </w:rPr>
        <w:t xml:space="preserve"> Александр Владимирович</w:t>
      </w:r>
    </w:p>
    <w:p w:rsidR="004A6EA2" w:rsidRDefault="004A6EA2">
      <w:pPr>
        <w:jc w:val="both"/>
        <w:rPr>
          <w:sz w:val="28"/>
          <w:szCs w:val="28"/>
        </w:rPr>
      </w:pPr>
    </w:p>
    <w:p w:rsidR="004A6EA2" w:rsidRDefault="008022C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</w:t>
      </w:r>
      <w:r>
        <w:rPr>
          <w:sz w:val="28"/>
          <w:szCs w:val="28"/>
        </w:rPr>
        <w:t xml:space="preserve">трации </w:t>
      </w:r>
      <w:r>
        <w:rPr>
          <w:bCs/>
          <w:iCs/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по перспективному развитию - начальник управления АПК</w:t>
      </w:r>
    </w:p>
    <w:p w:rsidR="004A6EA2" w:rsidRDefault="008022CC">
      <w:pPr>
        <w:jc w:val="both"/>
        <w:rPr>
          <w:sz w:val="28"/>
          <w:szCs w:val="28"/>
        </w:rPr>
      </w:pPr>
      <w:r>
        <w:rPr>
          <w:sz w:val="28"/>
          <w:szCs w:val="28"/>
        </w:rPr>
        <w:t>8(47261) 4-66-74</w:t>
      </w:r>
    </w:p>
    <w:sectPr w:rsidR="004A6EA2" w:rsidSect="004A6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CC" w:rsidRDefault="008022CC">
      <w:r>
        <w:separator/>
      </w:r>
    </w:p>
  </w:endnote>
  <w:endnote w:type="continuationSeparator" w:id="0">
    <w:p w:rsidR="008022CC" w:rsidRDefault="0080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CC" w:rsidRDefault="008022CC">
      <w:r>
        <w:separator/>
      </w:r>
    </w:p>
  </w:footnote>
  <w:footnote w:type="continuationSeparator" w:id="0">
    <w:p w:rsidR="008022CC" w:rsidRDefault="0080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13B"/>
    <w:multiLevelType w:val="hybridMultilevel"/>
    <w:tmpl w:val="AF6AE80C"/>
    <w:lvl w:ilvl="0" w:tplc="D4E28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17E3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EC6C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5427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4843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59E4F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EA439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C108D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6584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02C7EAA"/>
    <w:multiLevelType w:val="hybridMultilevel"/>
    <w:tmpl w:val="4D8A3430"/>
    <w:lvl w:ilvl="0" w:tplc="7AFA5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68E9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BD41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41A22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42C71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5147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96AC5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828A1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E5C9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EA2"/>
    <w:rsid w:val="004A6EA2"/>
    <w:rsid w:val="008022CC"/>
    <w:rsid w:val="00C8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A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A6EA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A6EA2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4A6EA2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4A6EA2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4A6EA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A6EA2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4A6EA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A6EA2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4A6EA2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A6EA2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4A6EA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A6EA2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4A6EA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A6EA2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4A6EA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A6EA2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4A6EA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A6EA2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4A6EA2"/>
    <w:pPr>
      <w:ind w:left="720"/>
      <w:contextualSpacing/>
    </w:pPr>
    <w:rPr>
      <w:lang w:eastAsia="zh-CN"/>
    </w:rPr>
  </w:style>
  <w:style w:type="paragraph" w:styleId="a4">
    <w:name w:val="Title"/>
    <w:link w:val="a5"/>
    <w:uiPriority w:val="10"/>
    <w:qFormat/>
    <w:rsid w:val="004A6E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4A6EA2"/>
    <w:rPr>
      <w:sz w:val="48"/>
      <w:szCs w:val="48"/>
      <w:lang w:bidi="ar-SA"/>
    </w:rPr>
  </w:style>
  <w:style w:type="paragraph" w:styleId="a6">
    <w:name w:val="Subtitle"/>
    <w:link w:val="a7"/>
    <w:uiPriority w:val="11"/>
    <w:qFormat/>
    <w:rsid w:val="004A6EA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A6EA2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4A6EA2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4A6EA2"/>
    <w:rPr>
      <w:i/>
      <w:lang w:val="ru-RU" w:eastAsia="zh-CN" w:bidi="ar-SA"/>
    </w:rPr>
  </w:style>
  <w:style w:type="paragraph" w:styleId="a8">
    <w:name w:val="Intense Quote"/>
    <w:link w:val="a9"/>
    <w:uiPriority w:val="30"/>
    <w:qFormat/>
    <w:rsid w:val="004A6E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sid w:val="004A6EA2"/>
    <w:rPr>
      <w:i/>
      <w:shd w:val="clear" w:color="F2F2F2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4A6EA2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4A6EA2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4A6EA2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4A6EA2"/>
  </w:style>
  <w:style w:type="paragraph" w:customStyle="1" w:styleId="Caption">
    <w:name w:val="Caption"/>
    <w:uiPriority w:val="35"/>
    <w:semiHidden/>
    <w:unhideWhenUsed/>
    <w:qFormat/>
    <w:rsid w:val="004A6EA2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4A6EA2"/>
    <w:rPr>
      <w:lang w:val="ru-RU" w:eastAsia="zh-CN" w:bidi="ar-SA"/>
    </w:rPr>
  </w:style>
  <w:style w:type="table" w:styleId="aa">
    <w:name w:val="Table Grid"/>
    <w:basedOn w:val="a1"/>
    <w:rsid w:val="004A6E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A6E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A6E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A6EA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A6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A6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A6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4A6EA2"/>
    <w:rPr>
      <w:color w:val="0000FF"/>
      <w:u w:val="single"/>
    </w:rPr>
  </w:style>
  <w:style w:type="paragraph" w:styleId="ac">
    <w:name w:val="footnote text"/>
    <w:link w:val="ad"/>
    <w:uiPriority w:val="99"/>
    <w:semiHidden/>
    <w:unhideWhenUsed/>
    <w:rsid w:val="004A6E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semiHidden/>
    <w:rsid w:val="004A6EA2"/>
    <w:rPr>
      <w:sz w:val="18"/>
      <w:lang w:bidi="ar-SA"/>
    </w:rPr>
  </w:style>
  <w:style w:type="character" w:styleId="ae">
    <w:name w:val="footnote reference"/>
    <w:uiPriority w:val="99"/>
    <w:unhideWhenUsed/>
    <w:rsid w:val="004A6EA2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4A6EA2"/>
    <w:rPr>
      <w:lang w:eastAsia="zh-CN"/>
    </w:rPr>
  </w:style>
  <w:style w:type="character" w:customStyle="1" w:styleId="af0">
    <w:name w:val="Текст концевой сноски Знак"/>
    <w:link w:val="af"/>
    <w:uiPriority w:val="99"/>
    <w:semiHidden/>
    <w:rsid w:val="004A6EA2"/>
    <w:rPr>
      <w:lang w:val="ru-RU" w:eastAsia="zh-CN" w:bidi="ar-SA"/>
    </w:rPr>
  </w:style>
  <w:style w:type="character" w:styleId="af1">
    <w:name w:val="endnote reference"/>
    <w:uiPriority w:val="99"/>
    <w:semiHidden/>
    <w:unhideWhenUsed/>
    <w:rsid w:val="004A6EA2"/>
    <w:rPr>
      <w:vertAlign w:val="superscript"/>
    </w:rPr>
  </w:style>
  <w:style w:type="paragraph" w:styleId="1">
    <w:name w:val="toc 1"/>
    <w:uiPriority w:val="39"/>
    <w:unhideWhenUsed/>
    <w:rsid w:val="004A6EA2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4A6EA2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4A6EA2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4A6EA2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4A6EA2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4A6EA2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4A6EA2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4A6EA2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4A6EA2"/>
    <w:pPr>
      <w:spacing w:after="57"/>
      <w:ind w:left="2268"/>
    </w:pPr>
    <w:rPr>
      <w:lang w:eastAsia="zh-CN"/>
    </w:rPr>
  </w:style>
  <w:style w:type="paragraph" w:styleId="af2">
    <w:name w:val="TOC Heading"/>
    <w:uiPriority w:val="39"/>
    <w:unhideWhenUsed/>
    <w:rsid w:val="004A6EA2"/>
    <w:rPr>
      <w:lang w:eastAsia="zh-CN"/>
    </w:rPr>
  </w:style>
  <w:style w:type="character" w:customStyle="1" w:styleId="fontstyle01">
    <w:name w:val="fontstyle01"/>
    <w:basedOn w:val="a0"/>
    <w:rsid w:val="004A6EA2"/>
    <w:rPr>
      <w:rFonts w:ascii="timesnewromanps-boldmt" w:hAnsi="timesnewromanps-boldmt"/>
      <w:b/>
      <w:bCs/>
      <w:color w:val="000000"/>
      <w:sz w:val="28"/>
      <w:szCs w:val="28"/>
    </w:rPr>
  </w:style>
  <w:style w:type="paragraph" w:customStyle="1" w:styleId="Web112111Web1">
    <w:name w:val="Обычный (веб);Знак;Обычный (Web);Обычный (веб)1;Обычный (веб) Знак;Обычный (веб) Знак1;Обычный (веб) Знак Знак;Обычный (веб) Знак2 Знак;Обычный (веб) Знак Знак1 Знак;Обычный (веб) Знак1 Знак Знак1;Обычный (веб) Знак Знак Знак Знак;Обычный (Web)1"/>
    <w:basedOn w:val="a"/>
    <w:rsid w:val="004A6EA2"/>
    <w:pPr>
      <w:spacing w:before="100" w:beforeAutospacing="1" w:after="100" w:afterAutospacing="1"/>
    </w:pPr>
  </w:style>
  <w:style w:type="character" w:styleId="af3">
    <w:name w:val="Strong"/>
    <w:basedOn w:val="a0"/>
    <w:rsid w:val="004A6EA2"/>
    <w:rPr>
      <w:b/>
      <w:bCs/>
    </w:rPr>
  </w:style>
  <w:style w:type="paragraph" w:styleId="22">
    <w:name w:val="Body Text 2"/>
    <w:basedOn w:val="a"/>
    <w:rsid w:val="004A6EA2"/>
    <w:pPr>
      <w:jc w:val="both"/>
    </w:pPr>
    <w:rPr>
      <w:sz w:val="28"/>
    </w:rPr>
  </w:style>
  <w:style w:type="character" w:customStyle="1" w:styleId="fontstyle21">
    <w:name w:val="fontstyle21"/>
    <w:basedOn w:val="a0"/>
    <w:rsid w:val="004A6EA2"/>
    <w:rPr>
      <w:rFonts w:ascii="Arial" w:hAnsi="Arial"/>
      <w:color w:val="000000"/>
      <w:sz w:val="24"/>
      <w:szCs w:val="24"/>
    </w:rPr>
  </w:style>
  <w:style w:type="paragraph" w:customStyle="1" w:styleId="ListParagraph">
    <w:name w:val="List Paragraph;ПАРАГРАФ"/>
    <w:basedOn w:val="a"/>
    <w:link w:val="ListParagraphCharChar"/>
    <w:rsid w:val="004A6EA2"/>
    <w:pPr>
      <w:ind w:left="720"/>
      <w:jc w:val="center"/>
    </w:pPr>
    <w:rPr>
      <w:rFonts w:ascii="Calibri" w:hAnsi="Calibri"/>
      <w:sz w:val="22"/>
      <w:szCs w:val="22"/>
      <w:lang w:eastAsia="ar-SA"/>
    </w:rPr>
  </w:style>
  <w:style w:type="character" w:customStyle="1" w:styleId="ListParagraphCharChar">
    <w:name w:val="List Paragraph Char;ПАРАГРАФ Char"/>
    <w:link w:val="ListParagraph"/>
    <w:rsid w:val="004A6EA2"/>
    <w:rPr>
      <w:rFonts w:ascii="Calibri" w:hAnsi="Calibri"/>
      <w:sz w:val="22"/>
      <w:szCs w:val="22"/>
      <w:lang w:val="ru-RU" w:eastAsia="ar-SA" w:bidi="ar-SA"/>
    </w:rPr>
  </w:style>
  <w:style w:type="paragraph" w:styleId="af4">
    <w:name w:val="Body Text Indent"/>
    <w:basedOn w:val="a"/>
    <w:rsid w:val="004A6EA2"/>
    <w:pPr>
      <w:spacing w:after="120"/>
      <w:ind w:left="283"/>
    </w:pPr>
  </w:style>
  <w:style w:type="paragraph" w:styleId="af5">
    <w:name w:val="Body Text"/>
    <w:basedOn w:val="a"/>
    <w:rsid w:val="004A6EA2"/>
    <w:pPr>
      <w:spacing w:after="120"/>
    </w:pPr>
  </w:style>
  <w:style w:type="paragraph" w:customStyle="1" w:styleId="23">
    <w:name w:val="заголовок 2"/>
    <w:basedOn w:val="a"/>
    <w:next w:val="a"/>
    <w:rsid w:val="004A6EA2"/>
    <w:pPr>
      <w:keepNext/>
      <w:widowControl w:val="0"/>
      <w:outlineLvl w:val="1"/>
    </w:pPr>
    <w:rPr>
      <w:b/>
      <w:bCs/>
    </w:rPr>
  </w:style>
  <w:style w:type="paragraph" w:customStyle="1" w:styleId="10">
    <w:name w:val="заголовок 1"/>
    <w:basedOn w:val="a"/>
    <w:next w:val="a"/>
    <w:rsid w:val="004A6EA2"/>
    <w:pPr>
      <w:keepNext/>
      <w:widowControl w:val="0"/>
      <w:jc w:val="center"/>
      <w:outlineLvl w:val="0"/>
    </w:pPr>
    <w:rPr>
      <w:b/>
      <w:bCs/>
    </w:rPr>
  </w:style>
  <w:style w:type="paragraph" w:styleId="af6">
    <w:name w:val="List"/>
    <w:basedOn w:val="a"/>
    <w:rsid w:val="004A6EA2"/>
    <w:pPr>
      <w:ind w:left="283" w:hanging="283"/>
    </w:pPr>
  </w:style>
  <w:style w:type="paragraph" w:styleId="af7">
    <w:name w:val="Body Text First Indent"/>
    <w:basedOn w:val="af5"/>
    <w:rsid w:val="004A6EA2"/>
    <w:pPr>
      <w:ind w:firstLine="210"/>
    </w:pPr>
  </w:style>
  <w:style w:type="character" w:customStyle="1" w:styleId="24">
    <w:name w:val="Основной текст (2)_"/>
    <w:basedOn w:val="a0"/>
    <w:link w:val="210"/>
    <w:rsid w:val="004A6EA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4"/>
    <w:rsid w:val="004A6EA2"/>
    <w:pPr>
      <w:widowControl w:val="0"/>
      <w:shd w:val="clear" w:color="FFFFFF" w:fill="FFFFFF"/>
      <w:spacing w:line="312" w:lineRule="exact"/>
      <w:jc w:val="both"/>
    </w:pPr>
    <w:rPr>
      <w:sz w:val="26"/>
      <w:szCs w:val="26"/>
    </w:rPr>
  </w:style>
  <w:style w:type="paragraph" w:styleId="af8">
    <w:name w:val="No Spacing"/>
    <w:rsid w:val="004A6EA2"/>
    <w:pPr>
      <w:widowControl w:val="0"/>
    </w:pPr>
    <w:rPr>
      <w:rFonts w:ascii="Segoe UI" w:eastAsia="Calibri" w:hAnsi="Segoe UI"/>
      <w:sz w:val="22"/>
      <w:szCs w:val="22"/>
    </w:rPr>
  </w:style>
  <w:style w:type="paragraph" w:customStyle="1" w:styleId="ConsPlusNormal">
    <w:name w:val="ConsPlusNormal"/>
    <w:link w:val="ConsPlusNormal0"/>
    <w:rsid w:val="004A6EA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4A6EA2"/>
    <w:rPr>
      <w:rFonts w:ascii="Calibri" w:hAnsi="Calibri"/>
      <w:sz w:val="22"/>
      <w:lang w:val="ru-RU" w:eastAsia="ru-RU" w:bidi="ar-SA"/>
    </w:rPr>
  </w:style>
  <w:style w:type="character" w:customStyle="1" w:styleId="fontstyle11">
    <w:name w:val="fontstyle11"/>
    <w:rsid w:val="004A6EA2"/>
    <w:rPr>
      <w:rFonts w:ascii="timesnewromanpsmt" w:hAnsi="timesnewromanps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4695</Words>
  <Characters>26765</Characters>
  <Application>Microsoft Office Word</Application>
  <DocSecurity>0</DocSecurity>
  <Lines>223</Lines>
  <Paragraphs>62</Paragraphs>
  <ScaleCrop>false</ScaleCrop>
  <Company/>
  <LinksUpToDate>false</LinksUpToDate>
  <CharactersWithSpaces>31398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Нестерова_Н</cp:lastModifiedBy>
  <cp:revision>5</cp:revision>
  <dcterms:created xsi:type="dcterms:W3CDTF">2024-12-28T06:38:00Z</dcterms:created>
  <dcterms:modified xsi:type="dcterms:W3CDTF">2024-12-28T06:40:00Z</dcterms:modified>
</cp:coreProperties>
</file>