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3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44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45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30 января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3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12/39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2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pPr w:horzAnchor="page" w:tblpX="1613" w:vertAnchor="page" w:tblpY="4517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9"/>
      </w:tblGrid>
      <w:tr>
        <w:trPr>
          <w:trHeight w:val="140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99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 внесении изменений в постановление</w:t>
            </w:r>
            <w:r>
              <w:rPr>
                <w:b/>
                <w:sz w:val="28"/>
              </w:rPr>
            </w:r>
            <w:r/>
          </w:p>
          <w:p>
            <w:pPr>
              <w:pStyle w:val="668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комиссии от 26 мая 2022 года № 2/7-1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«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Об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инструкции по делопроизводству в Грайворонской территориальной избирательной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комиссии»</w:t>
            </w:r>
            <w:r>
              <w:rPr>
                <w:b/>
                <w:sz w:val="28"/>
              </w:rPr>
            </w:r>
            <w:r/>
          </w:p>
          <w:p>
            <w:pPr>
              <w:pStyle w:val="668"/>
            </w:pPr>
            <w:r>
              <w:t xml:space="preserve"> </w:t>
            </w:r>
            <w:r/>
          </w:p>
        </w:tc>
      </w:tr>
    </w:tbl>
    <w:p>
      <w:pPr>
        <w:pStyle w:val="832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2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2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2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2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  <w:szCs w:val="28"/>
        </w:rPr>
      </w:r>
      <w:r>
        <w:rPr>
          <w:rFonts w:ascii="PT Astra Serif" w:hAnsi="PT Astra Serif" w:cs="PT Astra Serif" w:eastAsia="PT Astra Serif"/>
          <w:sz w:val="16"/>
          <w:szCs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  <w:szCs w:val="28"/>
        </w:rPr>
      </w:r>
      <w:r>
        <w:rPr>
          <w:rFonts w:ascii="PT Astra Serif" w:hAnsi="PT Astra Serif" w:cs="PT Astra Serif" w:eastAsia="PT Astra Serif"/>
          <w:sz w:val="16"/>
          <w:szCs w:val="28"/>
        </w:rPr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постановлением Избирательной комиссии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 области от 14 декабря 2022 года № 31/317-7 «О внесении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изменений в постановление Избирательной комиссии Белгородской области</w:t>
      </w:r>
      <w:r/>
    </w:p>
    <w:p>
      <w:pPr>
        <w:pStyle w:val="668"/>
        <w:jc w:val="both"/>
        <w:rPr>
          <w:b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 05 мая 2022 года № 9/140-7 «О Примерной инструкции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делопроизводству в территориальной избирательной комиссии», Грайворонская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</w:t>
      </w:r>
      <w:r>
        <w:rPr>
          <w:b/>
        </w:rPr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Внести в Инструкцию по делопроизводству в Грайворонской 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комиссии, утвержденную постановлением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 от 26 мая 2022 года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2/7-1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«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Об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инструкции по делопроизводству в Грайворонской территориальной избирательной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комиссии»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следующие изменения: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1.1. Абзац второй пункта 1.1 раздела 1 изложить в следующей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редакции: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«Инструкция разработана на основании федеральных законов от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12 июня 2002 года № 67-ФЗ «Об основных гарантиях избирательных прав и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права на участие в референдуме граждан Российской Федерации»,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 октября 2004 года № 125-ФЗ «Об архивном деле в Российской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Федерации», от 2 мая 2006 года № 59-ФЗ «О порядке рассмотрения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обращений граждан Российской Федерации», с учетом постановления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Правительства Российской Федерации от 3 ноября 1994 года № 1233 «Об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утверждении Положения о порядке обращения со служебной информацией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ограниченного распространения в федеральных органах исполнительной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власти и уполномоченном органе управления использованием атомной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энергии и уполномоченном органе по космической деятельности» (в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редакции постановлений Правительства Российской Федерации от 20 июля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2012 г. № 740, от 20 февраля 2016 г. № 123, от 18 марта 2016 г. № 214, от 06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августа 2020 г. № 1186), Правил делопроизводства в государственных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органах и органах местного самоуправления, утвержденных приказом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Федерального архивного агентства от 22 мая 2019 года № 71, Методических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рекомендаций по разработке инструкций по делопроизводству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государственных органах, органах местного самоуправления, утвержденных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приказом Федерального архивного агентства от 24 декабря 2020 года № 199,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постановлений и иных нормативных актов ЦИК России, Комиссии,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Регламента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использованием ГОСТа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u w:val="none"/>
        </w:rPr>
      </w:r>
      <w:hyperlink r:id="rId12" w:tooltip="http://7.0.97-2016" w:history="1">
        <w:r>
          <w:rPr>
            <w:rStyle w:val="809"/>
            <w:rFonts w:ascii="PT Astra Serif" w:hAnsi="PT Astra Serif" w:cs="PT Astra Serif" w:eastAsia="PT Astra Serif"/>
            <w:color w:val="000000" w:themeColor="text1"/>
            <w:sz w:val="28"/>
            <w:szCs w:val="28"/>
            <w:u w:val="none"/>
          </w:rPr>
          <w:t xml:space="preserve">7.0.97-2016</w:t>
        </w:r>
      </w:hyperlink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«Национальный стандарт Российской Федерации. Система стандартов по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информации, библиотечному и издательскому делу. Организационно-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распорядительная документация. Требования к оформлению документов»,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ГОСТа Р 7.0.8-2013 «Национальный стандарт Российской Федерации.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Система стандартов по информации, библиотечному и издательскому делу.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Делопроизводство и архивное дело. Термины и определения».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1.2. В пункте 1.6. раздела 1 слова «после согласования с избирательной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комиссией субъекта Российской Федерации» исключить.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1.3. В абзаце третьем подпункта 3.5.4 раздела 3 слова «перед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фамилией» заменить словами «после фамилии», слова «А.В. Александрову»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заменить словами «Александрову А.В.».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1.4. В пункте 5.10 раздела 5 слова «действующим законодательством»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заменить словами «подразделами 9.5 и 9.6 Инструкции.».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1.5. Пункт 5.16 раздела 5 дополнить абзацем следующего содержания: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«В случае, если в обращении запрашивается информация, ранее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опубликованная в средствах массовой информации либо размещенная в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информационно-телекоммуникационной сети Интернет, ТИК в ответе на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обращение может ограничиться указанием названия, даты выхода и номера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средства массовой информации, в котором опубликована запрашиваемая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информация, либо указанием ссылки (адрес страницы) на информацию,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размещенную в информационно-телекоммуникационной сети Интернет.»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1.6. Пункты 7.2-7.12 считать подпунктами 7.1.1-7.1.11 соответственно.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1.7. Подпункт 7.1.5 дополнить предложением «Текст пункта может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начинаться словами «Признать утратившим силу...» либо «Считать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утратившим силу...».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1.8. Раздел 7 дополнить пунктом 7.2 следующего содержания: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«7.2. Оформление распоряжений председателя ТИК по кадровым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вопросам.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7.2.1. Распоряжения председателя ТИК по кадровым вопросам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издаются по конкретным вопросам, связанным с деятельностью членов ТИК,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приемом на работу в аппарат ТИК.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7.2.2. Распоряжения председателя ТИК по кадровым вопросам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оформляются аналогично распоряжениям председателя ТИК по основной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деятельности.</w:t>
      </w:r>
      <w:r/>
    </w:p>
    <w:p>
      <w:pPr>
        <w:pStyle w:val="668"/>
        <w:ind w:firstLine="70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7.2.3. Распоряжениями оформляются начало исполнения обязанностей</w:t>
      </w:r>
      <w:r/>
    </w:p>
    <w:p>
      <w:pPr>
        <w:pStyle w:val="66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замещению государственной должности и прекращение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полномочий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членов ТИК, работающих в ТИК на постоянной (штатной) основе, прием на3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работу, заключение служебного контракта, установление новых условий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оплаты труда, перевод (назначение) на иную должность, изменение фамилии,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имени, отчества, установление неполного рабочего дня, выплаты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единовременного поощрения в связи с увольнением и выходом на пенсию за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выслугу лет, выплаты единовременного поощрения в связи с юбилеем,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премирование, предоставление ежегодных, учебных, дополнительных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отпусков, отпуска по беременности и родам, отпуска по уходу за ребенком,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отпуска без сохранения денежного содержания, выход из отпуска по уходу за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ребенком, наложение взыскания, командирование, прекращение служебного</w:t>
      </w:r>
      <w:r/>
    </w:p>
    <w:p>
      <w:pPr>
        <w:pStyle w:val="668"/>
        <w:jc w:val="both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контракта, освобождение от должности и увольнение.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Распоряжение является основанием для начисления денежного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вознаграждения или содержания, осуществления выплат, доплат или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удержаний.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7.2.4. Проекты распоряжений готовятся на основании поручений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председателя ТИК, личных заявлений членов ТИК и работников аппарата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ТИК, представлений, служебных записок, иных документов.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распоряжениях по кадровым вопросам констатирующая часть может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отсутствовать, а распорядительная часть начинается глаголами: «Назначить»,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«Перевести», «Уволить», «Премировать» и так далее. Каждый пункт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распоряжения должен быть точно сформулирован в соответствии с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Трудовым кодексом Российской Федерации.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7.2.5. В распоряжении о приеме на должность указываются фамилия,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имя, отчество принимаемого гражданина, наименование замещаемой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должности, дата начала исполнения обязанностей, условия оплаты труда (в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том числе размер должностного оклада, надбавки и другие выплаты), срок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действия заключаемого служебного контракта, установленный срок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испытания в целях проверки соответствия его замещаемой должности, если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это предусмотрено, основание выпуска распоряжения (поручение, заявление,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представление).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7.2.6. В распоряжениях о заключении срочного служебного контракта,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назначении на иную должность, увольнении, отпуске и по другим кадровым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вопросам указываются фамилия, имя, отчество, наименование замещаемой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должности, содержание распорядительного решения (продлить срок,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уволить, предоставить ежегодный оплачиваемый отпуск и другое), если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требуется, дается ссылка на законодательный акт, на основании которого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принимается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распорядительное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решение,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устанавливаются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сроки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(календарные даты) действия распорядительного решения (действия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срочного служебного контракта, предоставления отпуска, командировки,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дата увольнения и другое). В распоряжении, как правило, указывается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основание его оформления (представление, заявление, график отпусков, план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командировок, служебная записка).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7.2.7. Распоряжениям присваиваются порядковые регистрационные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номера в пределах календарного года: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распоряжениям о приеме, переводе, увольнении, поощрении помимо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номера присваивается индекс «лс»;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распоряжениям о командировании присваивается индекс «лк»;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распоряжениям о дисциплинарных взысканиях, учебных, других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отпусках присваивается индекс «к».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7.2.8. Копии распоряжений по кадровым вопросам в обязательном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порядке передаются бухгалтеру ТИК.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7.2.9. Распоряжения по кадровым вопросам формируются в дела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согласно номенклатуре дел Комиссии в соответствии со сроками хранения.».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1.9. Подпункт 8.1.1 раздела 8 дополнить абзацами следующего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содержания: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«Не могут быть отнесены к служебной информации ограниченного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распространения: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акты законодательства, устанавливающие правовой статус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государственных органов, организаций, общественных объединений, а также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права, свободы и обязанности граждан, порядок их реализации;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описание структуры органа исполнительной власти, его функций,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направлений и форм деятельности, а также его адрес;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порядок рассмотрения и разрешения заявлений, а также обращений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граждан и юридических лиц;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решения по заявлениям и обращениям граждан и юридических лиц,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рассмотренным в установленном порядке.».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1.10. Пункт 8.1 раздела 8 дополнить подпунктом 8.1.2 следующего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содержания: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«8.1.2. Работа с проектом исходящего документа до отнесения его к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категории ДСП осуществляется в порядке, установленном для документов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общего делопроизводства в ТИК.».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1.11. Подпункты 8.1.2-8.1.13 пункта 8.1 считать подпунктами 8.1.3-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8.1.14 соответственно.</w:t>
      </w:r>
      <w:r/>
    </w:p>
    <w:p>
      <w:pPr>
        <w:pStyle w:val="832"/>
        <w:ind w:left="0" w:right="0"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1.12. Пункт 8.1 раздела 8 дополнить подпунктами 8.1.15-8.1.16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следующего содержания: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«8.1.15. Служебная информация ограниченного распространения не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подлежит разглашению (распространению) без санкции должностного лица,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принявшего решение о ее отнесении к разряду ограниченного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распространения, либо вышестоящего должностного лица.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разглашение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служебной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информации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ограниченного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распространения, ее распространение без санкции должностного лица,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имеющего данные полномочия, нарушение порядка обращения с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документами, содержащими такую информацию, работник, имеющий доступ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 этой информации, может быть привлечен к дисциплинарной или иной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предусмотренной законодательством ответственности.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8.1.16. В случае ликвидации, реорганизации органов исполнительной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власти и государственных органов Белгородской области решение о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дальнейшем использовании служебной информации ограниченного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распространения принимается комиссией, создаваемой по решению</w:t>
      </w:r>
      <w:r/>
    </w:p>
    <w:p>
      <w:pPr>
        <w:pStyle w:val="832"/>
        <w:ind w:left="0" w:right="0"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руководителя органа власти.».</w:t>
      </w:r>
      <w:r/>
    </w:p>
    <w:p>
      <w:pPr>
        <w:pStyle w:val="832"/>
        <w:ind w:firstLine="709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1.13. В пункте 9.2 раздела 9 цифры «8.1» заменить цифрами «9.1».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1.14. В пункте 9.5 раздела 9 цифры «8.6» заменить цифрами «9.6».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1.15. Дополнить разделом 12 следующего содержания: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«12. Формирование, ведение и хранение личных дел.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12.1. Личные дела членов ТИК, работающих на постоянной (штатной)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основе, и специалистов аппарата ТИК ведутся и хранятся в ТИК.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Личное дело состоит из следующих документов: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копия постановления избирательной комиссии субъекта Российской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Федерации о назначении членом ТИК;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копия постановления ТИК об избрании на должность председателя,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заместителя председателя, секретаря ТИК;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копия распоряжения о приеме на работу на постоянной (штатной)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основе членов ТИК и работников Аппарата ТИК с подписью принятого лица,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подтверждающей ознакомление, личные заявления о приеме на работу;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сведения, сообщенные гражданином о себе при назначении на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государственную должность или поступлении на работу по установленной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форме (анкета утвержденного образца, автобиография);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сведения, сообщенные членами ТИК, работающими на постоянной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(штатной) основе и работниками аппарата ТИК об изменениях в анкетных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данных (дополнение к анкете);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копии документов, подтверждающих профессиональное образование,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повышение квалификации, наличие ученой степени или ученого звания, если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таковые имеются;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справка о доходах, об имуществе и обязательствах имущественного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характера гражданина, его супруги (супруга), несовершеннолетних детей;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медицинское заключение о состоянии здоровья;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копия трудовой книжки или документа, подтверждающего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прохождение военной или иной службы;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копия военного билета или приписного свидетельства (для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военнообязанных);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документы, связанные с оформлением допуска к сведениям,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составляющим государственную тайну, если исполнение обязанностей по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государственной должности связано с использованием таких сведений;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копии наградных документов, если таковые имеются;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личное заявление о согласии на перемещение на другую должность,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копия распоряжения о перемещении на другую должность с подписью,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подтверждающей ознакомление;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копии распоряжений об установлении соответствующих надбавок к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должностным окладам;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копии распоряжений об изменении условий оплаты труда;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копии распоряжений о поощрении работника, а также копии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распоряжений о наложении на него дисциплинарного взыскания (последние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хранятся в деле до снятия или отмены взыскания);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копия свидетельства о постановке на учет в налоговом органе;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копия страхового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государственного пенсионного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страхования;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копия документов об изменении семейного положения;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копии свидетельств о рождении детей;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личное заявление об увольнении, копия распоряжения об увольнении.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12.2. Документы в личных делах располагаются в хронологическом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порядке по мере их поступления. При подготовке к сдаче дел в Архив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документы переформировываются: документ, имеющий самую позднюю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дату, должен быть помещен в конец дела, а документ, имеющий самую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раннюю дату, - в начало дела, первым.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12.3. В случае смерти лица, на которое заведено личное дело, конечной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датой является дата, указанная в документе, извещающем о его кончине. В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личное дело помещается копия распоряжения Комиссии о прекращении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государственной службы в связи со смертью.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12.4. Документы, включенные в личное дело, вкладываются в обложку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установленной формы, страницы нумеруются в верхнем правом углу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карандашом с черным графитом и брошюруются. В конце дела помещается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заверительный лист.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 документы личного дела составляется внутренняя опись, которая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нумеруется римскими цифрами и помещается в начале дела.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Личные дела лиц, освобожденных от работы в связи с прекращением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служебного контракта, хранятся в Комиссии в течение 10 лет со дня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освобождения от должности, после чего передаются в Архив.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 личные дела составляется опись в двух экземплярах в алфавитном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порядке с указанием количества листов и крайних дат дела. В конце описи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делается итоговая запись о количестве сданных в Архив дел. Опись дел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подписывается представителями обеих сторон, участвующих в приеме-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передаче дел. Один экземпляр описи хранится в ТИК, а другой – в Архиве.».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1.16. Дополнить разделом 13 следующего содержания:</w:t>
      </w:r>
      <w:r/>
    </w:p>
    <w:p>
      <w:pPr>
        <w:pStyle w:val="832"/>
        <w:ind w:firstLine="0"/>
        <w:jc w:val="center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32"/>
        <w:ind w:firstLine="0"/>
        <w:jc w:val="center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 Оформление протоколов заседаний рабочих</w:t>
      </w:r>
      <w:r/>
    </w:p>
    <w:p>
      <w:pPr>
        <w:pStyle w:val="832"/>
        <w:ind w:firstLine="0"/>
        <w:jc w:val="center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 иных групп ТИК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13.1. Протоколы заседаний (далее – протокол) рабочих и иных групп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ТИК (далее – рабочая группа) оформляются по установленной форме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№18).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 составляется на основании записей, произведенных во время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заседания, представленных тезисов докладов и выступлений, справок,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проектов решений и других материалов.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Протоколы могут издаваться в полной или краткой форме, при которой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опускается ход обсуждения вопроса и фиксируется только принятое по нему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решение.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  <w:tab/>
        <w:t xml:space="preserve">3.2. Текст полного протокола состоит из двух частей: вводной и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основной.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В вводной части протокола указываются фамилии и инициалы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председательствующего (руководителя рабочей группы) и секретаря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заседания.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С новой строки после слова «Присутствовали:» перечисляются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инициалы и фамилии членов рабочей группы, приглашенных на заседание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членов ТИК, не являющихся членами рабочей группы, иных приглашенных.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При перечислении приглашенных обязательно указывается наименование их </w:t>
      </w:r>
      <w:r/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должностей. Многострочные наименования должностей печатаются через </w:t>
      </w:r>
      <w:r/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один межстрочный интервал.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Допускается оформление присутствующих отдельным списком </w:t>
      </w:r>
      <w:r/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с указанием инициалов, фамилий и должностей. Список прилагается </w:t>
      </w:r>
      <w:r/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к протоколу и является его неотъемлемой частью.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13.3. Повестка дня включается в вводную часть протокола. Она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состоит из перечисления вопросов, которые обсуждаются на заседании,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и закрепляет последовательность их обсуждения и фамилии докладчиков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(выступающих).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Каждый вопрос повестки дня заседания нумеруется арабской цифрой,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его наименование формулируют с предлога «О» или «Об». По каждому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пункту указывается докладчик и форма представления вопроса (доклад,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отчет, сообщение, информация).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13.4. Основная часть протокола содержит столько разделов, сколько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пунктов включено в повестку дня. В соответствии с ней разделы нумеруются.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Каждый раздел состоит из трех частей: «СЛУШАЛИ:»,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«ВЫСТУПИЛИ:», «РЕШИЛИ:», которые печатаются от границы левого поля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прописными буквами.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В части «СЛУШАЛИ:» кратко излагается текст выступления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докладчика. Инициалы и фамилия докладчика печатаются с красной строки в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именительном падеже. Запись доклада излагается от третьего лица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единственного числа и отделяется от фамилии дефисом.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Если текст доклада прилагается к протоколу, то используется ссылка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«Текст доклада прилагается».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В части «ВЫСТУПИЛИ:» перечисляются выступающие и авторы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вопросов. Инициалы и фамилия выступающего печатаются с красной строки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в именительном падеже. Краткая запись выступления по существу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рассматриваемого вопроса может быть изложена от третьего лица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единственного числа.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Если текст выступления прилагается к протоколу, то используется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ссылка «Текст выступления прилагается».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В части «РЕШИЛИ:» отражается принятое решение по обсуждаемому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вопросу. Текст постановляющей части печатается полностью. Если решение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по одному вопросу повестки дня заседания состоит из нескольких пунктов,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то пункты нумеруются арабскими цифрами, разделенными точками: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1.1. – первый пункт решения по первому вопросу повестки дня заседания,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1.2. – второй пункт решения по первому вопросу повестки дня заседания 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т.д.</w:t>
      </w:r>
      <w:r/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Тексты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пунктов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решения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излагаются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с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использованием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неопределенной формы глагола: возложить, поручить, организовать и т.д.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Если один из пунктов содержит решение об утверждении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обсуждавшегося на заседании документа, этот документ становится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приложением к протоколу и на нем оформляется ссылка на номер и дату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протокола. Приложение оформляется на отдельном листе. При наличии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нескольких приложений они нумеруются.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Содержание особого мнения, высказанного во время обсуждения,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записывается в тексте протокола после соответствующего решения.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13.5. Текст краткого протокола также состоит из двух частей. В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вводной части указываются инициалы и фамилия председательствующего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(руководителя рабочей группы), секретаря, присутствующих лиц.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Слово «Присутствовали:» печатается от границы левого поля, после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слова ставится двоеточие. Ниже печатаются наименования должностей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присутствовавших, а справа от наименования должностей – их инициалы 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фамилии.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основной части протокола указывается номер вопроса в соответствии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 повесткой дня, содержание вопроса и принятые решения.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Наименование вопроса нумеруется римской цифрой и начинается с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предлога «О» («Об»), печатается центровано размером шрифта No 14 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подчеркивается одной чертой ниже последней строки на расстоянии не более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одного интервала. Под чертой указываются фамилии лиц, выступивших при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обсуждении данного вопроса. Фамилии печатаются через один межстрочный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интервал.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Затем указывается принятое по вопросу решение, в случае голосования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– результаты голосования.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13.6. Протокол подписывается председательствующим (руководителем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рабочей группы) и секретарем заседания.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Подписи отделяют от текста тремя межстрочными интервалами.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Наименование должности печатается от границы левого поля, последняя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буква в фамилии ограничивается правым полем.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13.7. Протоколы нумеруются в хронологической последовательности в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пределах календарного года либо в пределах срока деятельности рабочей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группы.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13.8. Протоколы совместных заседаний нескольких рабочих групп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оформляются на листах бумаги формата А4 с соблюдением реквизитов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протокола. В реквизите «Председательствующий» указываются фамилия 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инициалы лица (инициалы и фамилии лиц), председательствовавшего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(председательствовавших) на заседании. В реквизите «Подпись»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наименования должностей располагаются на одном уровне.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13.9. Решения,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принятые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рабочей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группой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по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вопросам,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рассматриваемым на заседании, могут быть оформлены решением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установленной формы (приложение № 12). Решения подписываются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председательствующим (руководителем рабочей группы) и секретарем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заседания.</w:t>
      </w:r>
      <w:r/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13.10. Решения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могут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нумероваться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хронологической </w:t>
      </w:r>
      <w:r/>
      <w:r>
        <w:rPr>
          <w:rFonts w:ascii="PT Astra Serif" w:hAnsi="PT Astra Serif" w:cs="PT Astra Serif" w:eastAsia="PT Astra Serif"/>
          <w:sz w:val="28"/>
          <w:szCs w:val="28"/>
        </w:rPr>
        <w:t xml:space="preserve">последовательности в пределах календарного года, либо срока деятельности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рабочей группы либо в пределах одного заседания в порядке рассмотрения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вопросов.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13.11. Протоколы заседаний и решения рабочей группы включаются в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номенклатуру дел Комиссии.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После подписания протоколы заседаний и решения рабочих групп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регистрируются как внутренние документы.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13.12. Если в протоколе есть поручение со сроком исполнения, то оно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ставится на контроль в соответствии с разделом 11 Инструкции.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13.13. В случае рассмотрения вопроса на заседании Комиссии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подлинные экземпляры протоколов и решений рабочей группы приобщаются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 документам заседания, а в дела рабочей группы помещаются копии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указанных документов.».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1.17. Раздел 12 считать разделом 14.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1.18. Дополнить Инструкцию приложениями №№ 18-19 согласно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приложению к настоящему постановлению.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Разместить настоящее постановление на странице территориальной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избирательной комиссии на официальном сайте Избирательной комиссии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 области в информационно-телекоммуникационной сети</w:t>
      </w:r>
      <w:r/>
    </w:p>
    <w:p>
      <w:pPr>
        <w:pStyle w:val="832"/>
        <w:ind w:firstLine="0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«Интернет».</w:t>
      </w:r>
      <w:r/>
    </w:p>
    <w:p>
      <w:pPr>
        <w:pStyle w:val="832"/>
        <w:ind w:firstLine="708"/>
        <w:widowControl/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Контроль за исполнением настоящего постановления возложить на</w:t>
      </w:r>
      <w:r/>
    </w:p>
    <w:p>
      <w:pPr>
        <w:pStyle w:val="832"/>
        <w:ind w:firstLine="0"/>
        <w:widowControl/>
        <w:rPr>
          <w:rFonts w:ascii="PT Astra Serif" w:hAnsi="PT Astra Serif" w:cs="PT Astra Serif" w:eastAsia="PT Astra Serif"/>
          <w:color w:val="000000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председателя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</w:r>
      <w:r/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/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32"/>
        <w:ind w:firstLine="0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</w:p>
    <w:p>
      <w:pPr>
        <w:pStyle w:val="832"/>
        <w:ind w:firstLine="0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  <w:t xml:space="preserve">Председатель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pStyle w:val="841"/>
        <w:jc w:val="both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3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7"/>
    <w:next w:val="827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9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7"/>
    <w:next w:val="827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9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7"/>
    <w:next w:val="827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9"/>
    <w:link w:val="654"/>
    <w:uiPriority w:val="9"/>
    <w:rPr>
      <w:rFonts w:ascii="Arial" w:hAnsi="Arial" w:cs="Arial" w:eastAsia="Arial"/>
      <w:sz w:val="30"/>
      <w:szCs w:val="30"/>
    </w:rPr>
  </w:style>
  <w:style w:type="character" w:styleId="656">
    <w:name w:val="Heading 4 Char"/>
    <w:basedOn w:val="829"/>
    <w:link w:val="828"/>
    <w:uiPriority w:val="9"/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827"/>
    <w:next w:val="827"/>
    <w:link w:val="6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8">
    <w:name w:val="Heading 5 Char"/>
    <w:basedOn w:val="829"/>
    <w:link w:val="657"/>
    <w:uiPriority w:val="9"/>
    <w:rPr>
      <w:rFonts w:ascii="Arial" w:hAnsi="Arial" w:cs="Arial" w:eastAsia="Arial"/>
      <w:b/>
      <w:bCs/>
      <w:sz w:val="24"/>
      <w:szCs w:val="24"/>
    </w:rPr>
  </w:style>
  <w:style w:type="paragraph" w:styleId="659">
    <w:name w:val="Heading 6"/>
    <w:basedOn w:val="827"/>
    <w:next w:val="827"/>
    <w:link w:val="6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0">
    <w:name w:val="Heading 6 Char"/>
    <w:basedOn w:val="829"/>
    <w:link w:val="659"/>
    <w:uiPriority w:val="9"/>
    <w:rPr>
      <w:rFonts w:ascii="Arial" w:hAnsi="Arial" w:cs="Arial" w:eastAsia="Arial"/>
      <w:b/>
      <w:bCs/>
      <w:sz w:val="22"/>
      <w:szCs w:val="22"/>
    </w:rPr>
  </w:style>
  <w:style w:type="paragraph" w:styleId="661">
    <w:name w:val="Heading 7"/>
    <w:basedOn w:val="827"/>
    <w:next w:val="827"/>
    <w:link w:val="6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2">
    <w:name w:val="Heading 7 Char"/>
    <w:basedOn w:val="829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3">
    <w:name w:val="Heading 8"/>
    <w:basedOn w:val="827"/>
    <w:next w:val="827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4">
    <w:name w:val="Heading 8 Char"/>
    <w:basedOn w:val="829"/>
    <w:link w:val="663"/>
    <w:uiPriority w:val="9"/>
    <w:rPr>
      <w:rFonts w:ascii="Arial" w:hAnsi="Arial" w:cs="Arial" w:eastAsia="Arial"/>
      <w:i/>
      <w:iCs/>
      <w:sz w:val="22"/>
      <w:szCs w:val="22"/>
    </w:rPr>
  </w:style>
  <w:style w:type="paragraph" w:styleId="665">
    <w:name w:val="Heading 9"/>
    <w:basedOn w:val="827"/>
    <w:next w:val="827"/>
    <w:link w:val="6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>
    <w:name w:val="Heading 9 Char"/>
    <w:basedOn w:val="829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67">
    <w:name w:val="List Paragraph"/>
    <w:basedOn w:val="827"/>
    <w:qFormat/>
    <w:uiPriority w:val="34"/>
    <w:pPr>
      <w:contextualSpacing w:val="true"/>
      <w:ind w:left="720"/>
    </w:p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basedOn w:val="827"/>
    <w:next w:val="827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basedOn w:val="829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basedOn w:val="829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9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9"/>
    <w:link w:val="679"/>
    <w:uiPriority w:val="99"/>
  </w:style>
  <w:style w:type="paragraph" w:styleId="681">
    <w:name w:val="Caption"/>
    <w:basedOn w:val="827"/>
    <w:next w:val="8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3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4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5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6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7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8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7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8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9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0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1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2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3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5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6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8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0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1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6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7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8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9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0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1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2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3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4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5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6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7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8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9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paragraph" w:styleId="828">
    <w:name w:val="Heading 4"/>
    <w:basedOn w:val="827"/>
    <w:next w:val="827"/>
    <w:link w:val="840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 w:customStyle="1">
    <w:name w:val="Body Text 21"/>
    <w:basedOn w:val="827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3" w:customStyle="1">
    <w:name w:val="Т-14.5"/>
    <w:basedOn w:val="827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34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35" w:customStyle="1">
    <w:name w:val="Body Text 22"/>
    <w:basedOn w:val="827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36">
    <w:name w:val="Body Text Indent"/>
    <w:basedOn w:val="827"/>
    <w:link w:val="837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37" w:customStyle="1">
    <w:name w:val="Основной текст с отступом Знак"/>
    <w:basedOn w:val="829"/>
    <w:link w:val="836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38">
    <w:name w:val="Body Text 2"/>
    <w:basedOn w:val="827"/>
    <w:link w:val="839"/>
    <w:uiPriority w:val="99"/>
    <w:semiHidden/>
    <w:unhideWhenUsed/>
    <w:pPr>
      <w:spacing w:lineRule="auto" w:line="480" w:after="120"/>
    </w:pPr>
  </w:style>
  <w:style w:type="character" w:styleId="839" w:customStyle="1">
    <w:name w:val="Основной текст 2 Знак"/>
    <w:basedOn w:val="829"/>
    <w:link w:val="838"/>
    <w:uiPriority w:val="99"/>
    <w:semiHidden/>
  </w:style>
  <w:style w:type="character" w:styleId="840" w:customStyle="1">
    <w:name w:val="Заголовок 4 Знак"/>
    <w:basedOn w:val="829"/>
    <w:link w:val="828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1">
    <w:name w:val="Body Text"/>
    <w:basedOn w:val="827"/>
    <w:link w:val="842"/>
    <w:uiPriority w:val="99"/>
    <w:unhideWhenUsed/>
    <w:pPr>
      <w:spacing w:after="120"/>
    </w:pPr>
  </w:style>
  <w:style w:type="character" w:styleId="842" w:customStyle="1">
    <w:name w:val="Основной текст Знак"/>
    <w:basedOn w:val="829"/>
    <w:link w:val="841"/>
    <w:uiPriority w:val="99"/>
  </w:style>
  <w:style w:type="paragraph" w:styleId="84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4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45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46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7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Relationship Id="rId12" Type="http://schemas.openxmlformats.org/officeDocument/2006/relationships/hyperlink" Target="http://7.0.97-201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18</cp:revision>
  <dcterms:created xsi:type="dcterms:W3CDTF">2021-02-01T10:33:00Z</dcterms:created>
  <dcterms:modified xsi:type="dcterms:W3CDTF">2023-01-30T06:51:21Z</dcterms:modified>
</cp:coreProperties>
</file>