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object w:dxaOrig="1035" w:dyaOrig="11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mso-wrap-distance-left:9.1pt;mso-wrap-distance-top:0.0pt;mso-wrap-distance-right:9.1pt;mso-wrap-distance-bottom:0.0pt;z-index:2048;o:allowoverlap:true;o:allowincell:true;mso-position-horizontal-relative:text;margin-left:197.2pt;mso-position-horizontal:absolute;mso-position-vertical-relative:text;margin-top:4.5pt;mso-position-vertical:absolute;width:44.2pt;height:48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/>
    </w:p>
    <w:p>
      <w:pPr>
        <w:pStyle w:val="856"/>
        <w:ind w:firstLine="0"/>
        <w:jc w:val="center"/>
        <w:spacing w:lineRule="auto" w:line="240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56"/>
        <w:ind w:firstLine="0"/>
        <w:jc w:val="center"/>
        <w:spacing w:lineRule="auto" w:line="240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56"/>
        <w:ind w:firstLine="0"/>
        <w:jc w:val="center"/>
        <w:spacing w:lineRule="auto" w:line="240" w:after="0"/>
        <w:rPr>
          <w:rFonts w:ascii="PT Astra Serif" w:hAnsi="PT Astra Serif" w:cs="PT Astra Serif" w:eastAsia="PT Astra Serif"/>
          <w:b/>
          <w:sz w:val="32"/>
        </w:rPr>
      </w:pPr>
      <w:r>
        <w:rPr>
          <w:rFonts w:ascii="PT Astra Serif" w:hAnsi="PT Astra Serif" w:cs="PT Astra Serif" w:eastAsia="PT Astra Serif"/>
          <w:b/>
          <w:sz w:val="32"/>
        </w:rPr>
        <w:t xml:space="preserve">ГРАЙВОРОНСКАЯ ТЕРРИТОРИАЛЬНАЯ </w:t>
      </w:r>
      <w:r>
        <w:rPr>
          <w:rFonts w:ascii="PT Astra Serif" w:hAnsi="PT Astra Serif" w:cs="PT Astra Serif" w:eastAsia="PT Astra Serif"/>
          <w:sz w:val="32"/>
        </w:rPr>
      </w:r>
      <w:r/>
    </w:p>
    <w:p>
      <w:pPr>
        <w:pStyle w:val="856"/>
        <w:ind w:firstLine="0"/>
        <w:jc w:val="center"/>
        <w:spacing w:lineRule="auto" w:line="240" w:after="0"/>
        <w:rPr>
          <w:rFonts w:ascii="PT Astra Serif" w:hAnsi="PT Astra Serif" w:cs="PT Astra Serif" w:eastAsia="PT Astra Serif"/>
          <w:b/>
          <w:sz w:val="32"/>
        </w:rPr>
      </w:pPr>
      <w:r>
        <w:rPr>
          <w:rFonts w:ascii="PT Astra Serif" w:hAnsi="PT Astra Serif" w:cs="PT Astra Serif" w:eastAsia="PT Astra Serif"/>
          <w:b/>
          <w:sz w:val="32"/>
        </w:rPr>
        <w:t xml:space="preserve">ИЗБИРАТЕЛЬНАЯ КОМИССИЯ</w:t>
      </w:r>
      <w:r>
        <w:rPr>
          <w:rFonts w:ascii="PT Astra Serif" w:hAnsi="PT Astra Serif" w:cs="PT Astra Serif" w:eastAsia="PT Astra Serif"/>
          <w:sz w:val="32"/>
        </w:rPr>
      </w:r>
      <w:r/>
    </w:p>
    <w:p>
      <w:pPr>
        <w:pStyle w:val="832"/>
        <w:ind w:firstLine="0"/>
        <w:jc w:val="center"/>
        <w:spacing w:lineRule="auto" w:line="240" w:after="0"/>
        <w:rPr>
          <w:rFonts w:ascii="PT Astra Serif" w:hAnsi="PT Astra Serif" w:cs="PT Astra Serif" w:eastAsia="PT Astra Serif"/>
          <w:sz w:val="32"/>
        </w:rPr>
      </w:pPr>
      <w:r>
        <w:rPr>
          <w:rFonts w:ascii="PT Astra Serif" w:hAnsi="PT Astra Serif" w:cs="PT Astra Serif" w:eastAsia="PT Astra Serif"/>
          <w:sz w:val="32"/>
        </w:rPr>
      </w:r>
      <w:r>
        <w:rPr>
          <w:rFonts w:ascii="PT Astra Serif" w:hAnsi="PT Astra Serif" w:cs="PT Astra Serif" w:eastAsia="PT Astra Serif"/>
          <w:sz w:val="32"/>
        </w:rPr>
      </w:r>
      <w:r/>
    </w:p>
    <w:p>
      <w:pPr>
        <w:pStyle w:val="832"/>
        <w:ind w:firstLine="0"/>
        <w:jc w:val="center"/>
        <w:spacing w:lineRule="auto" w:line="240" w:after="0"/>
        <w:rPr>
          <w:rFonts w:ascii="PT Astra Serif" w:hAnsi="PT Astra Serif" w:cs="PT Astra Serif" w:eastAsia="PT Astra Serif"/>
          <w:sz w:val="32"/>
        </w:rPr>
      </w:pPr>
      <w:r>
        <w:rPr>
          <w:rFonts w:ascii="PT Astra Serif" w:hAnsi="PT Astra Serif" w:cs="PT Astra Serif" w:eastAsia="PT Astra Serif"/>
          <w:b/>
          <w:spacing w:val="60"/>
          <w:sz w:val="32"/>
        </w:rPr>
        <w:t xml:space="preserve">ПОСТАНОВЛЕНИЕ</w:t>
      </w:r>
      <w:r>
        <w:rPr>
          <w:rFonts w:ascii="PT Astra Serif" w:hAnsi="PT Astra Serif" w:cs="PT Astra Serif" w:eastAsia="PT Astra Serif"/>
          <w:sz w:val="32"/>
        </w:rPr>
      </w:r>
      <w:r/>
    </w:p>
    <w:p>
      <w:pPr>
        <w:pStyle w:val="832"/>
        <w:ind w:firstLine="0"/>
        <w:jc w:val="center"/>
        <w:spacing w:lineRule="auto" w:line="240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W w:w="0" w:type="auto"/>
        <w:tblInd w:w="108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504"/>
        <w:gridCol w:w="2528"/>
        <w:gridCol w:w="310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04" w:type="dxa"/>
            <w:vAlign w:val="top"/>
            <w:textDirection w:val="lrTb"/>
            <w:noWrap w:val="false"/>
          </w:tcPr>
          <w:p>
            <w:pPr>
              <w:pStyle w:val="832"/>
              <w:ind w:firstLine="0"/>
              <w:jc w:val="left"/>
              <w:spacing w:lineRule="auto" w:line="240" w:after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30 января 2023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28" w:type="dxa"/>
            <w:vAlign w:val="top"/>
            <w:textDirection w:val="lrTb"/>
            <w:noWrap w:val="false"/>
          </w:tcPr>
          <w:p>
            <w:pPr>
              <w:pStyle w:val="832"/>
              <w:ind w:firstLine="0"/>
              <w:jc w:val="left"/>
              <w:spacing w:lineRule="auto" w:line="240" w:after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07" w:type="dxa"/>
            <w:vAlign w:val="top"/>
            <w:textDirection w:val="lrTb"/>
            <w:noWrap w:val="false"/>
          </w:tcPr>
          <w:p>
            <w:pPr>
              <w:pStyle w:val="832"/>
              <w:ind w:firstLine="0"/>
              <w:jc w:val="right"/>
              <w:spacing w:lineRule="auto" w:line="240" w:after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 12/40-1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pStyle w:val="854"/>
        <w:ind w:right="4677"/>
        <w:widowControl/>
        <w:tabs>
          <w:tab w:val="left" w:pos="7088" w:leader="none"/>
          <w:tab w:val="left" w:pos="7797" w:leader="none"/>
          <w:tab w:val="left" w:pos="8080" w:leader="none"/>
        </w:tabs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54"/>
        <w:ind w:right="4677"/>
        <w:widowControl/>
        <w:tabs>
          <w:tab w:val="left" w:pos="7088" w:leader="none"/>
          <w:tab w:val="left" w:pos="7797" w:leader="none"/>
          <w:tab w:val="left" w:pos="8080" w:leader="none"/>
        </w:tabs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О выполнении</w:t>
      </w:r>
      <w:r>
        <w:rPr>
          <w:rFonts w:ascii="PT Astra Serif" w:hAnsi="PT Astra Serif" w:cs="PT Astra Serif" w:eastAsia="PT Astra Serif"/>
          <w:b/>
          <w:bCs/>
          <w:sz w:val="28"/>
        </w:rPr>
        <w:t xml:space="preserve"> плана мероприятий Грайворонской территориальной избирательной комиссии </w:t>
      </w:r>
      <w:r>
        <w:rPr>
          <w:rFonts w:ascii="PT Astra Serif" w:hAnsi="PT Astra Serif" w:cs="PT Astra Serif" w:eastAsia="PT Astra Serif"/>
          <w:b/>
          <w:bCs/>
          <w:color w:val="000000"/>
          <w:sz w:val="28"/>
          <w:szCs w:val="28"/>
        </w:rPr>
        <w:t xml:space="preserve">п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обучению организаторов выборов и иных участников избирательного процесса, повышению правовой культуры избирателей за 2022 год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54"/>
        <w:ind w:right="4677"/>
        <w:widowControl/>
        <w:tabs>
          <w:tab w:val="left" w:pos="7088" w:leader="none"/>
          <w:tab w:val="left" w:pos="7797" w:leader="none"/>
          <w:tab w:val="left" w:pos="808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bCs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54"/>
        <w:ind w:right="-1" w:firstLine="709"/>
        <w:spacing w:lineRule="auto" w:line="240"/>
        <w:widowControl/>
        <w:tabs>
          <w:tab w:val="left" w:pos="5387" w:leader="none"/>
          <w:tab w:val="left" w:pos="7088" w:leader="none"/>
          <w:tab w:val="left" w:pos="7797" w:leader="none"/>
          <w:tab w:val="left" w:pos="8080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Заслушав и обсудив информацию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секрета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территориальной избирательной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Л.А. Угольниковой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 выполнении плана мероприятий по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обучению организаторов выборов и иных участников избирательного процесса,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повышению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правовой культуры избирателей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Грайворонском городском округе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за 202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 год, Грайворонская территориальная избирательная комиссия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постановляет: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59"/>
        <w:spacing w:lineRule="auto" w:line="240"/>
        <w:widowControl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1.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Принять к сведению информацию о выполнении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плана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Грайворонском городском округе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Белгородской област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 за 2021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 (прилагается)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59"/>
        <w:spacing w:lineRule="auto" w:line="240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8"/>
          <w:szCs w:val="28"/>
          <w:highlight w:val="none"/>
        </w:rPr>
        <w:t xml:space="preserve">2. Разместить настоящее постановление на странице территориальной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59"/>
        <w:ind w:left="0" w:right="0" w:firstLine="0"/>
        <w:spacing w:lineRule="auto" w:line="240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8"/>
          <w:szCs w:val="28"/>
          <w:highlight w:val="none"/>
        </w:rPr>
        <w:t xml:space="preserve">избирательной комиссии на официальном сайте Избирательной комиссии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59"/>
        <w:ind w:left="0" w:right="0" w:firstLine="0"/>
        <w:spacing w:lineRule="auto" w:line="240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8"/>
          <w:szCs w:val="28"/>
          <w:highlight w:val="none"/>
        </w:rPr>
        <w:t xml:space="preserve">Белгородской области в информационно-телекоммуникационной сети </w:t>
      </w:r>
      <w:r>
        <w:rPr>
          <w:rFonts w:ascii="PT Astra Serif" w:hAnsi="PT Astra Serif" w:cs="PT Astra Serif" w:eastAsia="PT Astra Serif"/>
          <w:bCs/>
          <w:sz w:val="28"/>
          <w:szCs w:val="28"/>
          <w:highlight w:val="none"/>
        </w:rPr>
        <w:t xml:space="preserve">«Интернет».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9"/>
        <w:jc w:val="both"/>
        <w:spacing w:lineRule="auto" w:line="240" w:after="0"/>
        <w:shd w:val="clear" w:fill="FFFFFF" w:color="FFFFFF"/>
        <w:tabs>
          <w:tab w:val="left" w:pos="107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3. Контроль за исполнением настоящего постановления возложить на секретаря Избирательной комиссии Грайворонского городского округа Л.А. Угольникову.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right="4271"/>
        <w:jc w:val="both"/>
        <w:spacing w:lineRule="auto" w:line="240"/>
        <w:rPr>
          <w:rFonts w:ascii="PT Astra Serif" w:hAnsi="PT Astra Serif" w:cs="PT Astra Serif" w:eastAsia="PT Astra Serif"/>
          <w:sz w:val="28"/>
          <w:szCs w:val="18"/>
        </w:rPr>
      </w:pPr>
      <w:r>
        <w:rPr>
          <w:rFonts w:ascii="PT Astra Serif" w:hAnsi="PT Astra Serif" w:cs="PT Astra Serif" w:eastAsia="PT Astra Serif"/>
          <w:sz w:val="28"/>
          <w:szCs w:val="1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5"/>
        <w:jc w:val="both"/>
        <w:spacing w:lineRule="auto" w:line="240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sz w:val="28"/>
        </w:rPr>
        <w:tab/>
      </w:r>
      <w:r>
        <w:rPr>
          <w:rFonts w:ascii="PT Astra Serif" w:hAnsi="PT Astra Serif" w:cs="PT Astra Serif" w:eastAsia="PT Astra Serif"/>
          <w:b/>
          <w:sz w:val="28"/>
        </w:rPr>
        <w:t xml:space="preserve">Председатель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5"/>
        <w:jc w:val="both"/>
        <w:spacing w:lineRule="auto" w:line="240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5"/>
        <w:ind w:firstLine="708"/>
        <w:jc w:val="both"/>
        <w:spacing w:lineRule="auto" w:line="240"/>
        <w:tabs>
          <w:tab w:val="left" w:pos="7228" w:leader="none"/>
        </w:tabs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избирательной комиссии</w:t>
      </w:r>
      <w:r>
        <w:rPr>
          <w:rFonts w:ascii="PT Astra Serif" w:hAnsi="PT Astra Serif" w:cs="PT Astra Serif" w:eastAsia="PT Astra Serif"/>
          <w:b/>
          <w:sz w:val="28"/>
        </w:rPr>
        <w:t xml:space="preserve">    </w:t>
      </w:r>
      <w:r>
        <w:rPr>
          <w:rFonts w:ascii="PT Astra Serif" w:hAnsi="PT Astra Serif" w:cs="PT Astra Serif" w:eastAsia="PT Astra Serif"/>
          <w:b/>
          <w:sz w:val="28"/>
        </w:rPr>
        <w:t xml:space="preserve">                         </w:t>
      </w:r>
      <w:r>
        <w:rPr>
          <w:rFonts w:ascii="PT Astra Serif" w:hAnsi="PT Astra Serif" w:cs="PT Astra Serif" w:eastAsia="PT Astra Serif"/>
          <w:b/>
          <w:sz w:val="28"/>
        </w:rPr>
        <w:t xml:space="preserve">                  С.В. Краснокутский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5"/>
        <w:jc w:val="both"/>
        <w:spacing w:lineRule="auto" w:line="240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5"/>
        <w:jc w:val="both"/>
        <w:spacing w:lineRule="auto" w:line="240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ab/>
      </w:r>
      <w:r>
        <w:rPr>
          <w:rFonts w:ascii="PT Astra Serif" w:hAnsi="PT Astra Serif" w:cs="PT Astra Serif" w:eastAsia="PT Astra Serif"/>
          <w:b/>
          <w:sz w:val="28"/>
        </w:rPr>
        <w:t xml:space="preserve">Секретарь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5"/>
        <w:jc w:val="both"/>
        <w:spacing w:lineRule="auto" w:line="240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5"/>
        <w:ind w:firstLine="708"/>
        <w:jc w:val="both"/>
        <w:spacing w:lineRule="auto" w:line="240"/>
        <w:tabs>
          <w:tab w:val="left" w:pos="7087" w:leader="none"/>
        </w:tabs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избирательной комиссии  </w:t>
      </w:r>
      <w:r>
        <w:rPr>
          <w:rFonts w:ascii="PT Astra Serif" w:hAnsi="PT Astra Serif" w:cs="PT Astra Serif" w:eastAsia="PT Astra Serif"/>
          <w:b/>
          <w:sz w:val="28"/>
        </w:rPr>
        <w:t xml:space="preserve">       </w:t>
      </w:r>
      <w:r>
        <w:rPr>
          <w:rFonts w:ascii="PT Astra Serif" w:hAnsi="PT Astra Serif" w:cs="PT Astra Serif" w:eastAsia="PT Astra Serif"/>
          <w:b/>
          <w:sz w:val="28"/>
        </w:rPr>
        <w:t xml:space="preserve">                                      </w:t>
      </w:r>
      <w:r>
        <w:rPr>
          <w:rFonts w:ascii="PT Astra Serif" w:hAnsi="PT Astra Serif" w:cs="PT Astra Serif" w:eastAsia="PT Astra Serif"/>
          <w:b/>
          <w:sz w:val="28"/>
        </w:rPr>
        <w:t xml:space="preserve"> Л.А. Угольникова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ПРИЛОЖЕНИЕ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right"/>
        <w:spacing w:lineRule="auto" w:line="240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 постановлению Грайворонской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right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территориальной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избирательной комиссии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right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от 30 января 2023 года № 12/40-1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ИНФОРМАЦИЯ</w:t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  <w:b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 выполнении плана мероприятий по повышению правовой культуры</w:t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  <w:b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избирателей (участников референдума) и других участников</w:t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  <w:b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избирательного процесса, обучению кадров избирательных комиссий,</w:t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  <w:b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других организаторов выборов, мониторингу и совершенствованию</w:t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  <w:b/>
          <w:sz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избирательных технологий в Грайворонском городском округе за 2022 год</w:t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ind w:firstLine="0"/>
        <w:jc w:val="both"/>
        <w:spacing w:lineRule="auto" w:line="240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Одним из основных направлений деятельности 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территориальной избирательной комиссии (далее – Грайворонская ТИК)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является работа по обучению организаторов выборов и иных участников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избирательного процесса, повышению правовой культуры избирателей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Грайворонском городском округе.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Работа Грайворонской ТИК велась по следующим направлениям: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обеспечение реализации мероприятий, связанных с обучением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организаторов выборов и иных участников избирательного процесса;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проведение мероприятий по повышению правовой культуры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избирателей (молодые и будущие избиратели).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Работа по обучению организаторов выборов и иных участников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избирательного процесса, повышению правовой культуры избирателей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Грайворонском городском округе в 2022 году осуществлялась в соответствии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 Планами мероприятий по обучению организаторов выборов и иных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участников избирательного процесса, повышению правовой культуры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избирателей на 2022 год, утвержденными постановлением Избирательной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комиссии Грайворонского городского округа от 11 февраля 2022 года № 79/476-1 </w:t>
      </w:r>
      <w:r>
        <w:rPr>
          <w:rFonts w:ascii="PT Astra Serif" w:hAnsi="PT Astra Serif" w:cs="PT Astra Serif" w:eastAsia="PT Astra Serif"/>
          <w:b w:val="false"/>
          <w:bCs/>
          <w:sz w:val="28"/>
        </w:rPr>
        <w:t xml:space="preserve">«О плане мероприятий</w:t>
      </w:r>
      <w:r>
        <w:rPr>
          <w:rFonts w:ascii="PT Astra Serif" w:hAnsi="PT Astra Serif" w:cs="PT Astra Serif" w:eastAsia="PT Astra Serif"/>
          <w:b w:val="false"/>
          <w:bCs/>
          <w:sz w:val="28"/>
        </w:rPr>
        <w:t xml:space="preserve"> Избирательной комиссии Грайворонского городского округа Белгородской области </w:t>
      </w:r>
      <w:r>
        <w:rPr>
          <w:rFonts w:ascii="PT Astra Serif" w:hAnsi="PT Astra Serif" w:cs="PT Astra Serif" w:eastAsia="PT Astra Serif"/>
          <w:b w:val="false"/>
          <w:bCs/>
          <w:color w:val="000000"/>
          <w:sz w:val="28"/>
          <w:szCs w:val="28"/>
        </w:rPr>
        <w:t xml:space="preserve">п</w:t>
      </w:r>
      <w:r>
        <w:rPr>
          <w:rFonts w:ascii="PT Astra Serif" w:hAnsi="PT Astra Serif" w:cs="PT Astra Serif" w:eastAsia="PT Astra Serif"/>
          <w:b w:val="false"/>
          <w:color w:val="000000"/>
          <w:sz w:val="28"/>
          <w:szCs w:val="28"/>
        </w:rPr>
        <w:t xml:space="preserve">о обучению организаторов выборов и иных участников избирательного процесса, повышению правовой культуры избирателей</w:t>
      </w:r>
      <w:r>
        <w:rPr>
          <w:rFonts w:ascii="PT Astra Serif" w:hAnsi="PT Astra Serif" w:cs="PT Astra Serif" w:eastAsia="PT Astra Serif"/>
          <w:b w:val="false"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 w:val="false"/>
          <w:bCs/>
          <w:color w:val="000000"/>
          <w:sz w:val="28"/>
          <w:szCs w:val="28"/>
        </w:rPr>
        <w:t xml:space="preserve">на </w:t>
      </w:r>
      <w:r>
        <w:rPr>
          <w:rFonts w:ascii="PT Astra Serif" w:hAnsi="PT Astra Serif" w:cs="PT Astra Serif" w:eastAsia="PT Astra Serif"/>
          <w:b w:val="false"/>
          <w:bCs/>
          <w:color w:val="000000"/>
          <w:sz w:val="28"/>
          <w:szCs w:val="28"/>
        </w:rPr>
        <w:t xml:space="preserve">202</w:t>
      </w:r>
      <w:r>
        <w:rPr>
          <w:rFonts w:ascii="PT Astra Serif" w:hAnsi="PT Astra Serif" w:cs="PT Astra Serif" w:eastAsia="PT Astra Serif"/>
          <w:b w:val="false"/>
          <w:bCs/>
          <w:color w:val="000000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b w:val="false"/>
          <w:bCs/>
          <w:color w:val="000000"/>
          <w:sz w:val="28"/>
          <w:szCs w:val="28"/>
        </w:rPr>
        <w:t xml:space="preserve"> год</w:t>
      </w:r>
      <w:r>
        <w:rPr>
          <w:rFonts w:ascii="PT Astra Serif" w:hAnsi="PT Astra Serif" w:cs="PT Astra Serif" w:eastAsia="PT Astra Serif"/>
          <w:b w:val="false"/>
          <w:sz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 постановлением Грайворонской ТИК от 23 июня 2022 года №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3/17-1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54"/>
        <w:ind w:left="0" w:right="33" w:firstLine="0"/>
        <w:widowControl/>
        <w:tabs>
          <w:tab w:val="left" w:pos="5387" w:leader="none"/>
          <w:tab w:val="left" w:pos="7088" w:leader="none"/>
          <w:tab w:val="left" w:pos="7797" w:leader="none"/>
          <w:tab w:val="left" w:pos="8080" w:leader="none"/>
        </w:tabs>
        <w:rPr>
          <w:rFonts w:ascii="PT Astra Serif" w:hAnsi="PT Astra Serif" w:cs="PT Astra Serif" w:eastAsia="PT Astra Serif"/>
          <w:b w:val="false"/>
          <w:sz w:val="28"/>
        </w:rPr>
      </w:pPr>
      <w:r>
        <w:rPr>
          <w:rFonts w:ascii="PT Astra Serif" w:hAnsi="PT Astra Serif" w:cs="PT Astra Serif" w:eastAsia="PT Astra Serif"/>
          <w:b w:val="false"/>
          <w:bCs/>
          <w:sz w:val="28"/>
        </w:rPr>
        <w:t xml:space="preserve">«О плане мероприятий</w:t>
      </w:r>
      <w:r>
        <w:rPr>
          <w:rFonts w:ascii="PT Astra Serif" w:hAnsi="PT Astra Serif" w:cs="PT Astra Serif" w:eastAsia="PT Astra Serif"/>
          <w:b w:val="false"/>
          <w:bCs/>
          <w:sz w:val="28"/>
        </w:rPr>
        <w:t xml:space="preserve"> Грайворонской территориальной избирательной комиссии </w:t>
      </w:r>
      <w:r>
        <w:rPr>
          <w:rFonts w:ascii="PT Astra Serif" w:hAnsi="PT Astra Serif" w:cs="PT Astra Serif" w:eastAsia="PT Astra Serif"/>
          <w:b w:val="false"/>
          <w:bCs/>
          <w:color w:val="000000"/>
          <w:sz w:val="28"/>
          <w:szCs w:val="28"/>
        </w:rPr>
        <w:t xml:space="preserve">п</w:t>
      </w:r>
      <w:r>
        <w:rPr>
          <w:rFonts w:ascii="PT Astra Serif" w:hAnsi="PT Astra Serif" w:cs="PT Astra Serif" w:eastAsia="PT Astra Serif"/>
          <w:b w:val="false"/>
          <w:color w:val="000000"/>
          <w:sz w:val="28"/>
          <w:szCs w:val="28"/>
        </w:rPr>
        <w:t xml:space="preserve">о обучению организаторов выборов и иных участников избирател</w:t>
      </w:r>
      <w:r>
        <w:rPr>
          <w:rFonts w:ascii="PT Astra Serif" w:hAnsi="PT Astra Serif" w:cs="PT Astra Serif" w:eastAsia="PT Astra Serif"/>
          <w:b w:val="false"/>
          <w:color w:val="000000"/>
          <w:sz w:val="28"/>
          <w:szCs w:val="28"/>
        </w:rPr>
        <w:t xml:space="preserve">ьного процесса, повышению правовой культуры избирателей</w:t>
      </w:r>
      <w:r>
        <w:rPr>
          <w:rFonts w:ascii="PT Astra Serif" w:hAnsi="PT Astra Serif" w:cs="PT Astra Serif" w:eastAsia="PT Astra Serif"/>
          <w:b w:val="false"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 w:val="false"/>
          <w:bCs/>
          <w:color w:val="000000"/>
          <w:sz w:val="28"/>
          <w:szCs w:val="28"/>
        </w:rPr>
        <w:t xml:space="preserve">на </w:t>
      </w:r>
      <w:r>
        <w:rPr>
          <w:rFonts w:ascii="PT Astra Serif" w:hAnsi="PT Astra Serif" w:cs="PT Astra Serif" w:eastAsia="PT Astra Serif"/>
          <w:b w:val="false"/>
          <w:bCs/>
          <w:color w:val="000000"/>
          <w:sz w:val="28"/>
          <w:szCs w:val="28"/>
        </w:rPr>
        <w:t xml:space="preserve">202</w:t>
      </w:r>
      <w:r>
        <w:rPr>
          <w:rFonts w:ascii="PT Astra Serif" w:hAnsi="PT Astra Serif" w:cs="PT Astra Serif" w:eastAsia="PT Astra Serif"/>
          <w:b w:val="false"/>
          <w:bCs/>
          <w:color w:val="000000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b w:val="false"/>
          <w:bCs/>
          <w:color w:val="000000"/>
          <w:sz w:val="28"/>
          <w:szCs w:val="28"/>
        </w:rPr>
        <w:t xml:space="preserve"> год</w:t>
      </w:r>
      <w:r>
        <w:rPr>
          <w:rFonts w:ascii="PT Astra Serif" w:hAnsi="PT Astra Serif" w:cs="PT Astra Serif" w:eastAsia="PT Astra Serif"/>
          <w:b w:val="false"/>
          <w:sz w:val="28"/>
        </w:rPr>
        <w:t xml:space="preserve">».</w:t>
      </w:r>
      <w:r>
        <w:rPr>
          <w:rFonts w:ascii="PT Astra Serif" w:hAnsi="PT Astra Serif" w:cs="PT Astra Serif" w:eastAsia="PT Astra Serif"/>
          <w:b w:val="false"/>
          <w:sz w:val="28"/>
        </w:rPr>
      </w:r>
      <w:r/>
    </w:p>
    <w:p>
      <w:pPr>
        <w:ind w:left="0" w:right="0"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Деятельность Грайворонской ТИК в области обучения организаторов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выборов и иных участников избирательного процесса, повышению правовой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культуры избирателей в Грайворонском городском округе в 2022 году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определялась: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1) планом работы Избирательной комиссии Грайворонского городского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округа на 2022 год, утвержденным постановлением Избирательной комиссии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Грайворонского городского округа от 27 января 2022 года №78/474-1;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2) Комплексным планом обучения членов избирательных комиссий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всех уровней Грайворонского городского округа и иных участников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избирательного процесса на 2022 год, утвержденным постановлением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Избирательной комиссии Грайворонского городского округа от 28 февраля 2022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года № 80/479-1;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3) планом работы Грайворонской ТИК на 2022 год, утвержденным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постановлением Грайворонской ТИК от 26 мая 2022 года №2/11-1;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4) планом мероприятий, проводимых в рамках Дня молодого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избирателя в Грайворонском городском округе на 2022 год, утвержденны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постановлением Избирательной комиссии Грайворонского городского округа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от 15 марта 2022 года № 81/481-1.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Грайворонская ТИК в 2022 году проводила планомерную работу по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реализации мероприятий вышеуказанных планов во взаимодействии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 органами местного самоуправления, учреждениями образования, культуры, ЦМИ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молодежной избирательной комиссией Грайворонского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городского округа.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center"/>
        <w:spacing w:lineRule="auto" w:line="240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Обеспечение реализации мероприятий, связанных с обучением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center"/>
        <w:spacing w:lineRule="auto" w:line="240" w:after="0"/>
        <w:rPr>
          <w:rFonts w:ascii="PT Astra Serif" w:hAnsi="PT Astra Serif" w:cs="PT Astra Serif" w:eastAsia="PT Astra Serif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организаторов выборов и иных участников избирательного процесса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center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На территории Грайворонского городского округа образовано 36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участковых избирательных участков сроком на 5 лет (5 городских и 31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сельских) с численностью 301 членов с правом решающего голоса.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кадровом резерве составов участковых избирательных комиссий –</w:t>
      </w:r>
      <w:r>
        <w:rPr>
          <w:rFonts w:ascii="PT Astra Serif" w:hAnsi="PT Astra Serif" w:cs="PT Astra Serif" w:eastAsia="PT Astra Serif"/>
          <w:sz w:val="28"/>
        </w:rPr>
        <w:t xml:space="preserve"> 117</w:t>
      </w:r>
      <w:r/>
    </w:p>
    <w:p>
      <w:pPr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человек.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Комиссия считает одним из приоритетных направлений своей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деятельности работу по профессиональной подготовке организаторов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выборов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членов территориальной и участковых избирательных комиссий, резерва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составов участковых комиссий. Практика проведения избирательных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кампаний доказывает, что от профессионализма организаторов выборов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зависит слаженная работа всей системы избирательных комиссий Грайворонского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городского округа.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 организации работы по обучению членов ТИК, УИК, кадрового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резерва составов УИК применялись следующие эффективные формы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обучающих занятий: очная (лекции с использованием слайдов и наглядных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материалов, практические занятия, просмотр учебных видеороликов, разбор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конкретных ситуаций, тестовые задания, работа в малых группах),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индивидуальные обучения, дистанционная формы обучения. Обучение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проводилось также председателями УИК с членами участковых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избирательных комиссий внутри комиссий в форме обучающих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мероприятий, практических занятий, организации коллективных просмотров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учебных видеороликов.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2022 году на мероприятиях обучающего характера обучены 289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членов УИК (36 участковых избирательных комиссий) и 10 членов ТИК, в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том числе: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708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  <w:t xml:space="preserve">- с председателями и секретарями 36 участковых избирательных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комиссий были проведены обучающие занятия, в ходе которых проведен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анализ допущенных членами УИК нарушений на выборах депутатов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Государственной Думы Федерального Собрания Российской Федерации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восьмого созыва и досрочных выборов Губернатора Белгородской области на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едином дне голосования 19 сентября 2021 года.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председателями УИК проведены индивидуальные встречи с членами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УИК.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Изучены направляемые методические и справочные материалы,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разработанные Центральной избирательной комиссией Российской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Федерации по вопросам: подготовки к работе УИК, работы УИК с момента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начала осуществления избирательных действий до дня, предшествующего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дню голосования, работы УИК в день, предшествующий дню голосования,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работы УИК в день голосования, подсчета голосов избирателей, составления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протокола УИК об итогах голосования и проработаны ситуации по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допущенным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ходе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голосования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нарушениям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законодательства.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проведено 1 обучающие занятие с членами ТИК по актуальным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вопросам избирательного права и о внесении изменений в Избирательный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кодекс Белгородской области, изучены основные отличия регулирования,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установленного Федеральным законом от 14 марта 2022 года № 60-ФЗ,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от регулирования, действующего до его вступления в силу;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проведено совещание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 председателями УИК по вопросам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формирования составов участковых избирательных комиссий на 2023-2028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гг. и вопросам освещения новелл избирательного законодательства.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Проведение мероприятий по повышению правовой культуры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избирателей (молодые и будущие избиратели).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Одним из важных направлений своей деятельности Грайворонская ТИК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считает организацию повышения правовой культуры будущих избирателей,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реализации творческого потенциала учащейся молодежи, актуализации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интереса к таким важным институтам, как избирательное право,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избирательный процесс.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Вопросы участия молодежи в избирательном процессе становятся все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более актуальными. В Грайворонском городском округе проживает</w:t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 5977</w:t>
      </w:r>
      <w:r>
        <w:rPr>
          <w:rFonts w:ascii="PT Astra Serif" w:hAnsi="PT Astra Serif" w:cs="PT Astra Serif" w:eastAsia="PT Astra Serif"/>
          <w:sz w:val="28"/>
          <w:szCs w:val="28"/>
          <w:highlight w:val="yellow"/>
        </w:rPr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молодых избирателей и</w:t>
      </w:r>
      <w:r>
        <w:rPr>
          <w:rFonts w:ascii="PT Astra Serif" w:hAnsi="PT Astra Serif" w:cs="PT Astra Serif" w:eastAsia="PT Astra Serif"/>
          <w:sz w:val="28"/>
          <w:szCs w:val="28"/>
          <w:highlight w:val="white"/>
        </w:rPr>
        <w:t xml:space="preserve"> 1210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будущих избирателей. 19 сентября 2021 года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впервые активным избирательным правом воспользовался 181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ратель Грайворонского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городского округа.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Одна из главных задач на сегодняшний день - совершенствовать и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реализовать основные направления и наиболее эффективные формы работы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 широкому вовлечению молодежи в избирательный процесс.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ТИК, при содействии учреждений культуры 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образования в апреле, мае в рамках Дня будущего избирателя проводился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комплекс мероприятий, направленных на повышение правовой культуры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молодежи. Использовались различные формы работы с молодежью, такие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как проведение диалогов, часов информации, конкурсов, акций, игр, круглых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столов, индивидуальной работы с учащимися и других мероприятий.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90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целях повышения уровня информированности молодёжи о выборах, об избирательном законодательстве, повышения правовой, электоральной культуры, формирования гражданской ответственности, популяризации деятельности избирательных комиссий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Грайворонском городском округе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 15 апреля по 13 мая 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проводились мероприятия, приуроченные ко Дню молодого избирателя.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90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Разработан сводный план мероприятий, утверждённый постановлением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збирательной комисси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от 24 марта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№ 82/482-1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90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Проведение мероприятий было организовано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ей Грайворонского городского округа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совместно с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Центром молодежных инициатив,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Центром детского творчества,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управлениями образования, культуры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молодеж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ной политики, библиотеками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 клубами избирателей.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90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Всего на территории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Грайворонского городского округа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было запланировано и проведено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38 мероприятий с участием 661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молодых и будущих избирателей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из них общих мероприятий в муниципалитете проведено 2, с охватом участников 105 человек.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90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Во взаимодействии с управлением образования  и Центром детского творчества проведены конкурсы: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90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сочинений на тему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Молодежь выбирает»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среди учащихся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8 - 11 классов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общеобразовательных учреждений Грайворонского городского округа, в котором участвовали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человека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90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рисунков (плакатов) «Мы - будущие избиратели»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среди учащихся 8-11 классов, в котором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приняли участие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64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человека;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900"/>
        <w:jc w:val="both"/>
        <w:spacing w:lineRule="auto" w:line="240" w:after="0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клубах молодых и будущих избирателей прошли заседания на тему «За нами будущее», «Сегодня -школьник, завтра - избиратель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90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Одной из самой популярной форм мероприятий, приуроченных ко Дню молодого избирателя, стали правовые уроки, правовые переменки, исторические экскурсы: Мы - голос будущей России», «Твой 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олос нужен России», «Выбор за нами», «Учись быть избирателем», «Выборы: прошлое и настоящее, онлайн- викторины.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Центральная районная библиотека и ее филиалы – сельские библиотеки района организовали проведение более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мероприятий с охватом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 140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молодых и будущих избирателей.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Это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деловые игры, беседы, тематические выставки, видеолектории, информационно- правовые часы, правовые акции.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Молодые и будущие избиратели на данных мероприятиях знакомились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 основными нормативными международными и российскими правовыми актами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как источниками избирательного прав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а, порядком организации и проведения выборов, а именно: назначение выборов; составление списков избирателей; формирование избирательных округов и избирательных участков; образование избирательных комиссий; выдвижение кандидатов в депутаты и их регистрация;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предвыборная агитация, финансирование выборов; голосование и подведение итогов выборов.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90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Работниками сельских и школьных библиотек совместно с участковыми избира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тельными комиссиями организованы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тематические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выставки«Выборы -это выбор будущего!», «Я - избиратель», «Что должен знать избиратель?»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«Адресовано молодому избирателю»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связи с объявленным желтым уровнем террористической опасности в Грайворонском городском округе, планируемые мероприятия проведены частично, по мере возможности.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Проведенные мероприятия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были направлены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 формирование активной гражданской позиции, социальной компетентности личности, правового просвещения в области избирательного права и избирательного процесса,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привлечение будущих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 молодых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избирателей к участию в выборах и к работе в составах избирательных комиссий, повышение доверия будущих и молодых избирателей к институту выборов.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ходе всех мероприятий участники высказывали единое мнение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 том, что современная молодежь является важнейшим стратегическим ресурсом развития села, области, страны, а деятельность органов ученического самоуправления должна способствовать вовлечению будущих избирателей в решение социальных и экономических проблем.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90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Информация о Дне молодого избирателя и мероприятиях,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посвященных ему, была размещена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на сайте Избирательной комиссии Белгородской области, сайте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Администрации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на школьных сайтах, на стендах в школах, библиотеках, Домах культуры.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Грайворонская ТИК планирует и дальше продолжать работу по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активизации и повышению правовой культуры молодых и будущих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избирателей и организаторов выборов в течение 2023 года.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708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Секретарь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территориальной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    избирательной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                                                           Л.А. Угольникова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50"/>
        <w:ind w:left="0"/>
        <w:jc w:val="left"/>
        <w:spacing w:lineRule="auto" w:line="24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sectPr>
      <w:footnotePr/>
      <w:endnotePr/>
      <w:type w:val="nextPage"/>
      <w:pgSz w:w="11906" w:h="16838" w:orient="portrait"/>
      <w:pgMar w:top="851" w:right="850" w:bottom="822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2000603000000000000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pStyle w:val="833"/>
      <w:isLgl w:val="false"/>
      <w:suff w:val="tab"/>
      <w:lvlText w:val="%1."/>
      <w:lvlJc w:val="left"/>
      <w:pPr>
        <w:ind w:left="1429" w:hanging="720"/>
        <w:tabs>
          <w:tab w:val="num" w:pos="1429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  <w:tabs>
          <w:tab w:val="num" w:pos="1931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  <w:tabs>
          <w:tab w:val="num" w:pos="2651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  <w:tabs>
          <w:tab w:val="num" w:pos="3371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  <w:tabs>
          <w:tab w:val="num" w:pos="4091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  <w:tabs>
          <w:tab w:val="num" w:pos="4811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  <w:tabs>
          <w:tab w:val="num" w:pos="5531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  <w:tabs>
          <w:tab w:val="num" w:pos="6251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  <w:tabs>
          <w:tab w:val="num" w:pos="6971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04" w:hanging="720"/>
      </w:pPr>
      <w:rPr>
        <w:rFonts w:cs="Times New Roman" w:hint="default"/>
        <w:b w:val="false"/>
        <w:bCs/>
        <w:strike w:val="false"/>
        <w:color w:val="auto"/>
        <w:sz w:val="28"/>
        <w:szCs w:val="28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cs="Times New Roman" w:hint="default"/>
        <w:b w:val="false"/>
        <w:bCs/>
        <w:strike w:val="false"/>
        <w:color w:val="auto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cs="Times New Roman" w:hint="default"/>
        <w:color w:val="auto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suff w:val="tab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Heading 1 Char"/>
    <w:basedOn w:val="835"/>
    <w:link w:val="833"/>
    <w:uiPriority w:val="9"/>
    <w:rPr>
      <w:rFonts w:ascii="Arial" w:hAnsi="Arial" w:cs="Arial" w:eastAsia="Arial"/>
      <w:sz w:val="40"/>
      <w:szCs w:val="40"/>
    </w:rPr>
  </w:style>
  <w:style w:type="paragraph" w:styleId="659">
    <w:name w:val="Heading 2"/>
    <w:basedOn w:val="832"/>
    <w:next w:val="832"/>
    <w:link w:val="66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0">
    <w:name w:val="Heading 2 Char"/>
    <w:basedOn w:val="835"/>
    <w:link w:val="659"/>
    <w:uiPriority w:val="9"/>
    <w:rPr>
      <w:rFonts w:ascii="Arial" w:hAnsi="Arial" w:cs="Arial" w:eastAsia="Arial"/>
      <w:sz w:val="34"/>
    </w:rPr>
  </w:style>
  <w:style w:type="paragraph" w:styleId="661">
    <w:name w:val="Heading 3"/>
    <w:basedOn w:val="832"/>
    <w:next w:val="832"/>
    <w:link w:val="6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2">
    <w:name w:val="Heading 3 Char"/>
    <w:basedOn w:val="835"/>
    <w:link w:val="661"/>
    <w:uiPriority w:val="9"/>
    <w:rPr>
      <w:rFonts w:ascii="Arial" w:hAnsi="Arial" w:cs="Arial" w:eastAsia="Arial"/>
      <w:sz w:val="30"/>
      <w:szCs w:val="30"/>
    </w:rPr>
  </w:style>
  <w:style w:type="character" w:styleId="663">
    <w:name w:val="Heading 4 Char"/>
    <w:basedOn w:val="835"/>
    <w:link w:val="834"/>
    <w:uiPriority w:val="9"/>
    <w:rPr>
      <w:rFonts w:ascii="Arial" w:hAnsi="Arial" w:cs="Arial" w:eastAsia="Arial"/>
      <w:b/>
      <w:bCs/>
      <w:sz w:val="26"/>
      <w:szCs w:val="26"/>
    </w:rPr>
  </w:style>
  <w:style w:type="paragraph" w:styleId="664">
    <w:name w:val="Heading 5"/>
    <w:basedOn w:val="832"/>
    <w:next w:val="832"/>
    <w:link w:val="6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5">
    <w:name w:val="Heading 5 Char"/>
    <w:basedOn w:val="835"/>
    <w:link w:val="664"/>
    <w:uiPriority w:val="9"/>
    <w:rPr>
      <w:rFonts w:ascii="Arial" w:hAnsi="Arial" w:cs="Arial" w:eastAsia="Arial"/>
      <w:b/>
      <w:bCs/>
      <w:sz w:val="24"/>
      <w:szCs w:val="24"/>
    </w:rPr>
  </w:style>
  <w:style w:type="paragraph" w:styleId="666">
    <w:name w:val="Heading 6"/>
    <w:basedOn w:val="832"/>
    <w:next w:val="832"/>
    <w:link w:val="66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7">
    <w:name w:val="Heading 6 Char"/>
    <w:basedOn w:val="835"/>
    <w:link w:val="666"/>
    <w:uiPriority w:val="9"/>
    <w:rPr>
      <w:rFonts w:ascii="Arial" w:hAnsi="Arial" w:cs="Arial" w:eastAsia="Arial"/>
      <w:b/>
      <w:bCs/>
      <w:sz w:val="22"/>
      <w:szCs w:val="22"/>
    </w:rPr>
  </w:style>
  <w:style w:type="paragraph" w:styleId="668">
    <w:name w:val="Heading 7"/>
    <w:basedOn w:val="832"/>
    <w:next w:val="832"/>
    <w:link w:val="66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9">
    <w:name w:val="Heading 7 Char"/>
    <w:basedOn w:val="835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832"/>
    <w:next w:val="832"/>
    <w:link w:val="67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1">
    <w:name w:val="Heading 8 Char"/>
    <w:basedOn w:val="835"/>
    <w:link w:val="670"/>
    <w:uiPriority w:val="9"/>
    <w:rPr>
      <w:rFonts w:ascii="Arial" w:hAnsi="Arial" w:cs="Arial" w:eastAsia="Arial"/>
      <w:i/>
      <w:iCs/>
      <w:sz w:val="22"/>
      <w:szCs w:val="22"/>
    </w:rPr>
  </w:style>
  <w:style w:type="paragraph" w:styleId="672">
    <w:name w:val="Heading 9"/>
    <w:basedOn w:val="832"/>
    <w:next w:val="832"/>
    <w:link w:val="6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3">
    <w:name w:val="Heading 9 Char"/>
    <w:basedOn w:val="835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674">
    <w:name w:val="List Paragraph"/>
    <w:basedOn w:val="832"/>
    <w:qFormat/>
    <w:uiPriority w:val="34"/>
    <w:pPr>
      <w:contextualSpacing w:val="true"/>
      <w:ind w:left="720"/>
    </w:pPr>
  </w:style>
  <w:style w:type="paragraph" w:styleId="675">
    <w:name w:val="No Spacing"/>
    <w:qFormat/>
    <w:uiPriority w:val="1"/>
    <w:pPr>
      <w:spacing w:lineRule="auto" w:line="240" w:after="0" w:before="0"/>
    </w:pPr>
  </w:style>
  <w:style w:type="character" w:styleId="676">
    <w:name w:val="Title Char"/>
    <w:basedOn w:val="835"/>
    <w:link w:val="850"/>
    <w:uiPriority w:val="10"/>
    <w:rPr>
      <w:sz w:val="48"/>
      <w:szCs w:val="48"/>
    </w:rPr>
  </w:style>
  <w:style w:type="paragraph" w:styleId="677">
    <w:name w:val="Subtitle"/>
    <w:basedOn w:val="832"/>
    <w:next w:val="832"/>
    <w:link w:val="678"/>
    <w:qFormat/>
    <w:uiPriority w:val="11"/>
    <w:rPr>
      <w:sz w:val="24"/>
      <w:szCs w:val="24"/>
    </w:rPr>
    <w:pPr>
      <w:spacing w:after="200" w:before="200"/>
    </w:pPr>
  </w:style>
  <w:style w:type="character" w:styleId="678">
    <w:name w:val="Subtitle Char"/>
    <w:basedOn w:val="835"/>
    <w:link w:val="677"/>
    <w:uiPriority w:val="11"/>
    <w:rPr>
      <w:sz w:val="24"/>
      <w:szCs w:val="24"/>
    </w:rPr>
  </w:style>
  <w:style w:type="paragraph" w:styleId="679">
    <w:name w:val="Quote"/>
    <w:basedOn w:val="832"/>
    <w:next w:val="832"/>
    <w:link w:val="680"/>
    <w:qFormat/>
    <w:uiPriority w:val="29"/>
    <w:rPr>
      <w:i/>
    </w:rPr>
    <w:pPr>
      <w:ind w:left="720" w:right="720"/>
    </w:p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32"/>
    <w:next w:val="832"/>
    <w:link w:val="68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2">
    <w:name w:val="Intense Quote Char"/>
    <w:link w:val="681"/>
    <w:uiPriority w:val="30"/>
    <w:rPr>
      <w:i/>
    </w:rPr>
  </w:style>
  <w:style w:type="character" w:styleId="683">
    <w:name w:val="Header Char"/>
    <w:basedOn w:val="835"/>
    <w:link w:val="846"/>
    <w:uiPriority w:val="99"/>
  </w:style>
  <w:style w:type="paragraph" w:styleId="684">
    <w:name w:val="Footer"/>
    <w:basedOn w:val="832"/>
    <w:link w:val="6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5"/>
    <w:link w:val="684"/>
    <w:uiPriority w:val="99"/>
  </w:style>
  <w:style w:type="paragraph" w:styleId="686">
    <w:name w:val="Caption"/>
    <w:basedOn w:val="832"/>
    <w:next w:val="83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4 - Accent 1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8">
    <w:name w:val="Grid Table 4 - Accent 2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9">
    <w:name w:val="Grid Table 4 - Accent 3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0">
    <w:name w:val="Grid Table 4 - Accent 4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1">
    <w:name w:val="Grid Table 4 - Accent 5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2">
    <w:name w:val="Grid Table 4 - Accent 6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3">
    <w:name w:val="Grid Table 5 Dark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24">
    <w:name w:val="Grid Table 5 Dark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30">
    <w:name w:val="Grid Table 6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2">
    <w:name w:val="List Table 2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3">
    <w:name w:val="List Table 2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4">
    <w:name w:val="List Table 2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5">
    <w:name w:val="List Table 2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6">
    <w:name w:val="List Table 2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7">
    <w:name w:val="List Table 2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8">
    <w:name w:val="List Table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0">
    <w:name w:val="List Table 6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1">
    <w:name w:val="List Table 6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List Table 6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3">
    <w:name w:val="List Table 6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List Table 6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5">
    <w:name w:val="List Table 6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6">
    <w:name w:val="List Table 7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4">
    <w:name w:val="Lined - Accent 1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5">
    <w:name w:val="Lined - Accent 2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6">
    <w:name w:val="Lined - Accent 3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7">
    <w:name w:val="Lined - Accent 4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8">
    <w:name w:val="Lined - Accent 5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9">
    <w:name w:val="Lined - Accent 6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0">
    <w:name w:val="Bordered &amp; Lined - Accent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01">
    <w:name w:val="Bordered &amp; Lined - Accent 1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02">
    <w:name w:val="Bordered &amp; Lined - Accent 2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03">
    <w:name w:val="Bordered &amp; Lined - Accent 3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04">
    <w:name w:val="Bordered &amp; Lined - Accent 4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5">
    <w:name w:val="Bordered &amp; Lined - Accent 5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6">
    <w:name w:val="Bordered &amp; Lined - Accent 6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7">
    <w:name w:val="Bordered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8">
    <w:name w:val="Bordered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9">
    <w:name w:val="Bordered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0">
    <w:name w:val="Bordered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1">
    <w:name w:val="Bordered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2">
    <w:name w:val="Bordered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3">
    <w:name w:val="Bordered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rPr>
      <w:sz w:val="18"/>
    </w:rPr>
    <w:pPr>
      <w:spacing w:lineRule="auto" w:line="240" w:after="40"/>
    </w:p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5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rPr>
      <w:sz w:val="20"/>
    </w:rPr>
    <w:pPr>
      <w:spacing w:lineRule="auto" w:line="240" w:after="0"/>
    </w:p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5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paragraph" w:styleId="833">
    <w:name w:val="Heading 1"/>
    <w:basedOn w:val="832"/>
    <w:next w:val="832"/>
    <w:link w:val="838"/>
    <w:qFormat/>
    <w:uiPriority w:val="9"/>
    <w:rPr>
      <w:rFonts w:ascii="Times New Roman" w:hAnsi="Times New Roman" w:cs="Times New Roman" w:eastAsia="Times New Roman"/>
      <w:sz w:val="28"/>
      <w:szCs w:val="24"/>
    </w:rPr>
    <w:pPr>
      <w:numPr>
        <w:numId w:val="1"/>
      </w:numPr>
      <w:ind w:left="0" w:firstLine="0"/>
      <w:jc w:val="center"/>
      <w:keepNext/>
      <w:spacing w:lineRule="auto" w:line="240" w:after="0"/>
      <w:tabs>
        <w:tab w:val="num" w:pos="0" w:leader="none"/>
      </w:tabs>
      <w:outlineLvl w:val="0"/>
    </w:pPr>
  </w:style>
  <w:style w:type="paragraph" w:styleId="834">
    <w:name w:val="Heading 4"/>
    <w:basedOn w:val="832"/>
    <w:next w:val="832"/>
    <w:link w:val="839"/>
    <w:qFormat/>
    <w:uiPriority w:val="9"/>
    <w:rPr>
      <w:rFonts w:ascii="Times New Roman" w:hAnsi="Times New Roman" w:cs="Times New Roman" w:eastAsia="Times New Roman"/>
      <w:b/>
      <w:bCs/>
      <w:sz w:val="28"/>
      <w:szCs w:val="24"/>
    </w:rPr>
    <w:pPr>
      <w:jc w:val="center"/>
      <w:keepNext/>
      <w:spacing w:lineRule="auto" w:line="240" w:after="0"/>
      <w:outlineLvl w:val="3"/>
    </w:pPr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character" w:styleId="838" w:customStyle="1">
    <w:name w:val="Заголовок 1 Знак"/>
    <w:basedOn w:val="835"/>
    <w:link w:val="833"/>
    <w:uiPriority w:val="9"/>
    <w:rPr>
      <w:rFonts w:ascii="Times New Roman" w:hAnsi="Times New Roman" w:cs="Times New Roman" w:eastAsia="Times New Roman"/>
      <w:sz w:val="28"/>
      <w:szCs w:val="24"/>
    </w:rPr>
  </w:style>
  <w:style w:type="character" w:styleId="839" w:customStyle="1">
    <w:name w:val="Заголовок 4 Знак"/>
    <w:basedOn w:val="835"/>
    <w:link w:val="834"/>
    <w:uiPriority w:val="9"/>
    <w:rPr>
      <w:rFonts w:ascii="Times New Roman" w:hAnsi="Times New Roman" w:cs="Times New Roman" w:eastAsia="Times New Roman"/>
      <w:b/>
      <w:bCs/>
      <w:sz w:val="28"/>
      <w:szCs w:val="24"/>
    </w:rPr>
  </w:style>
  <w:style w:type="paragraph" w:styleId="840">
    <w:name w:val="Body Text Indent"/>
    <w:basedOn w:val="832"/>
    <w:link w:val="841"/>
    <w:semiHidden/>
    <w:rPr>
      <w:rFonts w:ascii="Times New Roman" w:hAnsi="Times New Roman" w:cs="Times New Roman" w:eastAsia="Times New Roman"/>
      <w:sz w:val="24"/>
      <w:szCs w:val="24"/>
    </w:rPr>
    <w:pPr>
      <w:ind w:left="5940"/>
      <w:jc w:val="center"/>
      <w:spacing w:lineRule="auto" w:line="240" w:after="0"/>
    </w:pPr>
  </w:style>
  <w:style w:type="character" w:styleId="841" w:customStyle="1">
    <w:name w:val="Основной текст с отступом Знак"/>
    <w:basedOn w:val="835"/>
    <w:link w:val="840"/>
    <w:uiPriority w:val="99"/>
    <w:semiHidden/>
    <w:rPr>
      <w:rFonts w:ascii="Times New Roman" w:hAnsi="Times New Roman" w:cs="Times New Roman" w:eastAsia="Times New Roman"/>
      <w:sz w:val="24"/>
      <w:szCs w:val="24"/>
    </w:rPr>
  </w:style>
  <w:style w:type="paragraph" w:styleId="842">
    <w:name w:val="Body Text Indent 3"/>
    <w:basedOn w:val="832"/>
    <w:link w:val="843"/>
    <w:semiHidden/>
    <w:rPr>
      <w:rFonts w:ascii="Times New Roman" w:hAnsi="Times New Roman" w:cs="Times New Roman" w:eastAsia="Times New Roman"/>
      <w:sz w:val="28"/>
      <w:szCs w:val="24"/>
    </w:rPr>
    <w:pPr>
      <w:ind w:firstLine="720"/>
      <w:jc w:val="both"/>
      <w:spacing w:lineRule="auto" w:line="240" w:after="0"/>
    </w:pPr>
  </w:style>
  <w:style w:type="character" w:styleId="843" w:customStyle="1">
    <w:name w:val="Основной текст с отступом 3 Знак"/>
    <w:basedOn w:val="835"/>
    <w:link w:val="842"/>
    <w:uiPriority w:val="99"/>
    <w:semiHidden/>
    <w:rPr>
      <w:rFonts w:ascii="Times New Roman" w:hAnsi="Times New Roman" w:cs="Times New Roman" w:eastAsia="Times New Roman"/>
      <w:sz w:val="28"/>
      <w:szCs w:val="24"/>
    </w:rPr>
  </w:style>
  <w:style w:type="paragraph" w:styleId="844">
    <w:name w:val="Body Text"/>
    <w:basedOn w:val="832"/>
    <w:link w:val="845"/>
    <w:uiPriority w:val="99"/>
    <w:semiHidden/>
    <w:rPr>
      <w:rFonts w:ascii="Times New Roman" w:hAnsi="Times New Roman" w:cs="Times New Roman" w:eastAsia="Times New Roman"/>
      <w:b/>
      <w:bCs/>
      <w:sz w:val="28"/>
      <w:szCs w:val="24"/>
    </w:rPr>
    <w:pPr>
      <w:jc w:val="center"/>
      <w:spacing w:lineRule="auto" w:line="240" w:after="0"/>
    </w:pPr>
  </w:style>
  <w:style w:type="character" w:styleId="845" w:customStyle="1">
    <w:name w:val="Основной текст Знак"/>
    <w:basedOn w:val="835"/>
    <w:link w:val="844"/>
    <w:uiPriority w:val="99"/>
    <w:semiHidden/>
    <w:rPr>
      <w:rFonts w:ascii="Times New Roman" w:hAnsi="Times New Roman" w:cs="Times New Roman" w:eastAsia="Times New Roman"/>
      <w:b/>
      <w:bCs/>
      <w:sz w:val="28"/>
      <w:szCs w:val="24"/>
    </w:rPr>
  </w:style>
  <w:style w:type="paragraph" w:styleId="846">
    <w:name w:val="Header"/>
    <w:basedOn w:val="832"/>
    <w:link w:val="847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7" w:customStyle="1">
    <w:name w:val="Верхний колонтитул Знак"/>
    <w:basedOn w:val="835"/>
    <w:link w:val="846"/>
    <w:uiPriority w:val="99"/>
    <w:rPr>
      <w:rFonts w:ascii="Times New Roman" w:hAnsi="Times New Roman" w:cs="Times New Roman" w:eastAsia="Times New Roman"/>
      <w:sz w:val="24"/>
      <w:szCs w:val="24"/>
    </w:rPr>
  </w:style>
  <w:style w:type="paragraph" w:styleId="848" w:customStyle="1">
    <w:name w:val="14-15"/>
    <w:basedOn w:val="840"/>
    <w:rPr>
      <w:bCs/>
      <w:sz w:val="28"/>
    </w:rPr>
    <w:pPr>
      <w:ind w:left="0" w:firstLine="709"/>
      <w:jc w:val="both"/>
      <w:spacing w:lineRule="auto" w:line="360"/>
    </w:pPr>
  </w:style>
  <w:style w:type="paragraph" w:styleId="849" w:customStyle="1">
    <w:name w:val="Загл.14"/>
    <w:basedOn w:val="832"/>
    <w:rPr>
      <w:rFonts w:ascii="Times New Roman" w:hAnsi="Times New Roman" w:cs="Times New Roman" w:eastAsia="Times New Roman"/>
      <w:b/>
      <w:sz w:val="28"/>
      <w:szCs w:val="20"/>
    </w:rPr>
    <w:pPr>
      <w:jc w:val="center"/>
      <w:spacing w:lineRule="auto" w:line="240" w:after="0"/>
    </w:pPr>
  </w:style>
  <w:style w:type="paragraph" w:styleId="850">
    <w:name w:val="Title"/>
    <w:basedOn w:val="832"/>
    <w:link w:val="851"/>
    <w:qFormat/>
    <w:uiPriority w:val="99"/>
    <w:rPr>
      <w:rFonts w:ascii="Times New Roman" w:hAnsi="Times New Roman" w:cs="Times New Roman" w:eastAsia="Times New Roman"/>
      <w:sz w:val="28"/>
      <w:szCs w:val="24"/>
    </w:rPr>
    <w:pPr>
      <w:jc w:val="center"/>
      <w:spacing w:lineRule="auto" w:line="240" w:after="0"/>
    </w:pPr>
  </w:style>
  <w:style w:type="character" w:styleId="851" w:customStyle="1">
    <w:name w:val="Название Знак"/>
    <w:basedOn w:val="835"/>
    <w:link w:val="850"/>
    <w:uiPriority w:val="99"/>
    <w:rPr>
      <w:rFonts w:ascii="Times New Roman" w:hAnsi="Times New Roman" w:cs="Times New Roman" w:eastAsia="Times New Roman"/>
      <w:sz w:val="28"/>
      <w:szCs w:val="24"/>
    </w:rPr>
  </w:style>
  <w:style w:type="paragraph" w:styleId="852" w:customStyle="1">
    <w:name w:val="Текст14-1"/>
    <w:basedOn w:val="832"/>
    <w:uiPriority w:val="99"/>
    <w:rPr>
      <w:rFonts w:ascii="Times New Roman" w:hAnsi="Times New Roman" w:cs="Times New Roman" w:eastAsia="Times New Roman"/>
      <w:sz w:val="28"/>
      <w:szCs w:val="28"/>
    </w:rPr>
    <w:pPr>
      <w:ind w:firstLine="709"/>
      <w:jc w:val="both"/>
      <w:spacing w:lineRule="auto" w:line="360" w:after="0"/>
    </w:pPr>
  </w:style>
  <w:style w:type="paragraph" w:styleId="853" w:customStyle="1">
    <w:name w:val="ConsNormal"/>
    <w:rPr>
      <w:rFonts w:ascii="Arial" w:hAnsi="Arial" w:cs="Times New Roman" w:eastAsia="Times New Roman"/>
      <w:sz w:val="20"/>
      <w:szCs w:val="20"/>
    </w:rPr>
    <w:pPr>
      <w:ind w:firstLine="720"/>
      <w:spacing w:lineRule="auto" w:line="240" w:after="0"/>
      <w:widowControl w:val="off"/>
    </w:pPr>
  </w:style>
  <w:style w:type="paragraph" w:styleId="854" w:customStyle="1">
    <w:name w:val="Body Text 21"/>
    <w:basedOn w:val="832"/>
    <w:rPr>
      <w:rFonts w:ascii="Times New Roman" w:hAnsi="Times New Roman" w:cs="Times New Roman" w:eastAsia="Times New Roman"/>
      <w:sz w:val="28"/>
      <w:szCs w:val="20"/>
    </w:rPr>
    <w:pPr>
      <w:jc w:val="both"/>
      <w:spacing w:lineRule="auto" w:line="240" w:after="0"/>
      <w:widowControl w:val="off"/>
    </w:pPr>
  </w:style>
  <w:style w:type="paragraph" w:styleId="855" w:customStyle="1">
    <w:name w:val="Основной текст 21"/>
    <w:basedOn w:val="832"/>
    <w:rPr>
      <w:rFonts w:ascii="Times New Roman" w:hAnsi="Times New Roman" w:cs="Times New Roman" w:eastAsia="Times New Roman"/>
      <w:sz w:val="28"/>
      <w:szCs w:val="20"/>
      <w:lang w:eastAsia="zh-CN"/>
    </w:rPr>
    <w:pPr>
      <w:jc w:val="center"/>
      <w:spacing w:lineRule="auto" w:line="240" w:after="0"/>
    </w:pPr>
  </w:style>
  <w:style w:type="paragraph" w:styleId="856">
    <w:name w:val="Body Text 3"/>
    <w:semiHidden/>
    <w:rPr>
      <w:rFonts w:ascii="TimesNewRoman" w:hAnsi="TimesNewRoman" w:cs="TimesNewRoman" w:eastAsia="TimesNew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7">
    <w:name w:val="Обычный"/>
    <w:next w:val="844"/>
    <w:link w:val="844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8">
    <w:name w:val="Текст14-1,5,текст14,Т-1,Текст 14-1,Стиль12-1"/>
    <w:basedOn w:val="797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9" w:customStyle="1">
    <w:name w:val="Т-14.5"/>
    <w:basedOn w:val="852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20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revision>43</cp:revision>
  <dcterms:created xsi:type="dcterms:W3CDTF">2020-12-29T15:49:00Z</dcterms:created>
  <dcterms:modified xsi:type="dcterms:W3CDTF">2023-01-30T10:58:13Z</dcterms:modified>
</cp:coreProperties>
</file>