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5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6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6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5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7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5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5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09 февраля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5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13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670"/>
        <w:ind w:right="5101"/>
        <w:jc w:val="both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pStyle w:val="670"/>
        <w:ind w:right="5101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</w:t>
      </w:r>
      <w:r>
        <w:rPr>
          <w:rFonts w:ascii="PT Astra Serif" w:hAnsi="PT Astra Serif" w:cs="PT Astra Serif" w:eastAsia="PT Astra Serif"/>
          <w:b/>
          <w:sz w:val="28"/>
        </w:rPr>
        <w:t xml:space="preserve">б утверждении</w:t>
      </w:r>
      <w:r>
        <w:rPr>
          <w:rFonts w:ascii="PT Astra Serif" w:hAnsi="PT Astra Serif" w:cs="PT Astra Serif" w:eastAsia="PT Astra Serif"/>
          <w:b/>
          <w:sz w:val="28"/>
        </w:rPr>
        <w:t xml:space="preserve"> Комплекс</w:t>
      </w:r>
      <w:r>
        <w:rPr>
          <w:rFonts w:ascii="PT Astra Serif" w:hAnsi="PT Astra Serif" w:cs="PT Astra Serif" w:eastAsia="PT Astra Serif"/>
          <w:b/>
          <w:sz w:val="28"/>
        </w:rPr>
        <w:t xml:space="preserve">а</w:t>
      </w:r>
      <w:r>
        <w:rPr>
          <w:rFonts w:ascii="PT Astra Serif" w:hAnsi="PT Astra Serif" w:cs="PT Astra Serif" w:eastAsia="PT Astra Serif"/>
          <w:b/>
          <w:sz w:val="28"/>
        </w:rPr>
        <w:t xml:space="preserve"> мер по </w:t>
      </w:r>
      <w:r>
        <w:rPr>
          <w:rFonts w:ascii="PT Astra Serif" w:hAnsi="PT Astra Serif" w:cs="PT Astra Serif" w:eastAsia="PT Astra Serif"/>
          <w:b/>
          <w:sz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Грайворонского городского округа на 2023 год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0"/>
        <w:ind w:firstLine="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Руководствуясь подпунктом «в» пункта 9 статьи 26 Федерального закона «Об основных гарантиях избирательных прав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и права на участие в референдуме граждан Российской Федерации», подпунктом 4 пункта статьи 30 Избирательного кодекса Белгородской области, в целях повышения правовой культуры избирателей (участников референдума) и других участников избирательного процесса,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Грайворонская территориальная избирательная комиссия постановила: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43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1.Утвердить Комплекс мер по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обучению организаторов выборов и иных участников избирательного процесса, повышению правовой культуры избирателей Грайворонского городского округа на 202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год (прилагается).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2.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Разместить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настоящее постановление на странице Грайворонской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исполнением настоящего постановления возложить на секретаря Грайворонской 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Л.А. Угольникову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.</w:t>
      </w:r>
      <w:r>
        <w:rPr>
          <w:rFonts w:ascii="PT Astra Serif" w:hAnsi="PT Astra Serif" w:cs="PT Astra Serif" w:eastAsia="PT Astra Serif"/>
          <w:sz w:val="28"/>
          <w:highlight w:val="none"/>
        </w:rPr>
        <w:br/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85"/>
        <w:tblW w:w="0" w:type="auto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территориальной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4785" w:type="dxa"/>
            <w:textDirection w:val="lrTb"/>
            <w:noWrap w:val="false"/>
          </w:tcPr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righ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 w:themeColor="text1"/>
          <w:sz w:val="28"/>
        </w:rPr>
        <w:outlineLvl w:val="5"/>
      </w:pP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</w:rPr>
        <w:outlineLvl w:val="5"/>
      </w:pPr>
      <w:r>
        <w:rPr>
          <w:rFonts w:ascii="PT Astra Serif" w:hAnsi="PT Astra Serif" w:cs="PT Astra Serif" w:eastAsia="PT Astra Serif"/>
          <w:color w:val="FF0000"/>
          <w:sz w:val="28"/>
          <w:szCs w:val="26"/>
        </w:rPr>
      </w:r>
      <w:r>
        <w:rPr>
          <w:rFonts w:ascii="PT Astra Serif" w:hAnsi="PT Astra Serif" w:cs="PT Astra Serif" w:eastAsia="PT Astra Serif"/>
          <w:color w:val="000000" w:themeColor="text1"/>
          <w:sz w:val="28"/>
          <w:szCs w:val="26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</w:rPr>
        <w:outlineLvl w:val="5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ind w:left="4500"/>
        <w:jc w:val="center"/>
        <w:keepLines/>
        <w:spacing w:after="0"/>
        <w:rPr>
          <w:rFonts w:ascii="PT Astra Serif" w:hAnsi="PT Astra Serif" w:cs="PT Astra Serif" w:eastAsia="PT Astra Serif"/>
          <w:color w:val="000000"/>
          <w:sz w:val="28"/>
        </w:rPr>
        <w:outlineLvl w:val="5"/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670"/>
        <w:ind w:left="4536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УТВЕРЖДЕН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left="4536"/>
        <w:jc w:val="center"/>
        <w:rPr>
          <w:rFonts w:ascii="PT Astra Serif" w:hAnsi="PT Astra Serif" w:cs="PT Astra Serif" w:eastAsia="PT Astra Serif"/>
          <w:sz w:val="24"/>
          <w:szCs w:val="28"/>
          <w:lang w:eastAsia="en-US"/>
        </w:rPr>
      </w:pP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постановлением Грайворонской </w:t>
      </w: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территориальной избирательной комиссии</w:t>
      </w:r>
      <w:r/>
    </w:p>
    <w:p>
      <w:pPr>
        <w:pStyle w:val="670"/>
        <w:ind w:left="4536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от</w:t>
      </w: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 09 февраля</w:t>
      </w: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 2023 г. №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13/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42-1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center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Комплекс мер по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обучению организаторов выборов и иных участников избирательного процесса, повышению правовой культуры избирателей Грайворонского городского округа на 2023 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д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Комплекс мер по обучению организаторов выборов и иных участников избирательного процесса, повышению правовой культуры избирателей на 2023 год (далее – Комплекс мер)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основан на результатах реализации аналогичных правовых актов в предыдущие периоды, актуальных задачах, стоящих перед Грайворонской территориальной избирательной комиссией и является логическим продолжением системной работы в данной сфере.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Для осуществления комплексной и все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сторонней работы с избирателями необходимо опираться на предпочтения каждой электоральной группы в зависимости от возраста, образования, опыта работы, социального статуса, уровня доходов, семейного положения, политических предпочтений и других критериев. 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еализация мер повышения правовой культуры избирателей должна способствовать получению гражданами простых и доступных ответов на вопросы о способах, необходимости и смысле участия в выборах как для них самих, так и для территории, на которой они проживают.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При этом в равной степени важны представители всех возрастных групп – от впервые голосующих до избирателей пенсионного возраста.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В этих целях необходимо использование традиционных методов, а также разработка и внедрение новых, в том числе интерактивных форм воздействия, направленных на повышение правовой культуры всех участников избирательного процесса.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Комплекс мер определяет направления и принципы планирования с учетом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выборов депутатов Совета депутатов Грайворонского городского округа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второго созыва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единый день голосования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сентября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В качестве исполнителя мероприятий Комплекса мер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определена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Грайворонская территориальная избирательная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комиссия.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В качестве соисполнителей (по согласованию) - участковые избирательные комиссии, органы местного самоуправления, местные отделения политических партий, общественные объединения, образовательные и иные организации.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Мероприятия Комплекса мер  направлены: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-на подготовку квалифицированных кадров для избирательных комиссий;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-на обучение иных участников избирательного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 массовой информации и т.д.);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-на обеспечение гарантий прав избирателей на своевременное получение полной и достоверной информации о выборах;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-на повышение уровня знаний избирателей об институтах выборов и референдума, побуждение граждан к участию в выборах и референдумах.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Мероприятия Комплекса мер включают в себя формы и методы обучения и правового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просвещения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положительно зарекомендовавшие себя в 202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1-2022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год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ах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, в том числе: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-участие в дистанционном обучении организаторов выборов по методикам, рекомендованным избирательной комиссией Белгородской области, включая тестирование обучающихся;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-разработку и внедрение обучающих и просветительских материалов в новых форматах;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-актуализацию содержания мероприятий информационно-прос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избиратели, являющиеся инвалидами, и другие);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-изучение опыта работы территориальных 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-оказание консультационной и методической помощи участковым избирательным комиссиям;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-в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заимодействие с органами местного самоуправления, общественными объединениями, образовательными и иными организациями по вопросам организации обучения организаторов выборов и иных участников избирательного процесса, повышения правовой культуры избирателей.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Реализация Комплекса мер осуществляется в соответствии с Перечнем мероприятий по обучению организаторов выборов и иных участников избирательного процесса, повышению правовой культуры избирателей на 202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 год </w:t>
      </w: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(прилагается).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lang w:eastAsia="en-US"/>
        </w:rPr>
        <w:t xml:space="preserve">Положения Комплекса мер, касающиеся избирателей и избирательных комиссий, в равной мере относятся к участникам референдума и комиссиям референдума соответственно.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br w:type="page"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rPr>
          <w:rFonts w:ascii="PT Astra Serif" w:hAnsi="PT Astra Serif" w:cs="PT Astra Serif" w:eastAsia="PT Astra Serif"/>
          <w:sz w:val="28"/>
        </w:rPr>
        <w:sectPr>
          <w:footnotePr/>
          <w:endnotePr/>
          <w:type w:val="nextPage"/>
          <w:pgSz w:w="11906" w:h="16838" w:orient="portrait"/>
          <w:pgMar w:top="1134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70"/>
        <w:ind w:left="9639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70"/>
        <w:ind w:left="9639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к Комплексу мер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70"/>
        <w:ind w:left="9639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по </w:t>
      </w: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обучению организаторов выборов и иных участников избирательного </w:t>
      </w:r>
      <w:r>
        <w:rPr>
          <w:rFonts w:ascii="PT Astra Serif" w:hAnsi="PT Astra Serif" w:cs="PT Astra Serif" w:eastAsia="PT Astra Serif"/>
          <w:sz w:val="24"/>
          <w:szCs w:val="28"/>
          <w:lang w:eastAsia="en-US"/>
        </w:rPr>
        <w:t xml:space="preserve">процесса, повышению правовой культуры избирателей Грайворонского городского округа на 2023 год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0"/>
        <w:tabs>
          <w:tab w:val="left" w:pos="437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85"/>
        <w:tblW w:w="0" w:type="auto"/>
        <w:tblLook w:val="04A0" w:firstRow="1" w:lastRow="0" w:firstColumn="1" w:lastColumn="0" w:noHBand="0" w:noVBand="1"/>
      </w:tblPr>
      <w:tblGrid>
        <w:gridCol w:w="1478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786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Перечень мероприятий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по обучению </w:t>
            </w:r>
            <w:r>
              <w:rPr>
                <w:rFonts w:ascii="PT Astra Serif" w:hAnsi="PT Astra Serif" w:cs="PT Astra Serif" w:eastAsia="PT Astra Serif"/>
                <w:b/>
                <w:bCs/>
                <w:sz w:val="28"/>
                <w:szCs w:val="28"/>
                <w:lang w:eastAsia="en-US"/>
              </w:rPr>
              <w:t xml:space="preserve">организаторов выборов и иных участников избирательного процесса, повышению правовой культуры избирателей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 Грайворонского городского округа на 202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67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0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Style w:val="68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2268"/>
        <w:gridCol w:w="2551"/>
      </w:tblGrid>
      <w:tr>
        <w:trPr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/</w:t>
            </w: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Наименование мероприятия и его содержание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Срок исполнения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Исполнители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pacing w:val="-4"/>
                <w:sz w:val="28"/>
                <w:szCs w:val="28"/>
                <w:lang w:eastAsia="en-US"/>
              </w:rPr>
              <w:t xml:space="preserve">Участники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33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50" w:type="dxa"/>
            <w:vAlign w:val="center"/>
            <w:textDirection w:val="lrTb"/>
            <w:noWrap w:val="false"/>
          </w:tcPr>
          <w:p>
            <w:pPr>
              <w:ind w:left="360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69"/>
              <w:numPr>
                <w:ilvl w:val="0"/>
                <w:numId w:val="9"/>
              </w:numPr>
              <w:jc w:val="center"/>
              <w:widowControl w:val="off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одготовка квалифицированных кадров для избирательных комиссий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ind w:left="360"/>
              <w:jc w:val="center"/>
              <w:widowControl w:val="off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1.1.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Участие в обучении на курсах повышения квалификации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для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: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председ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ателей, заместителей председателей, секретарей, работающих на постоянной (штатной) основе и системных администраторов информационного центра аппарата Избирательной комиссии Белгородской области, организованных  Избирательной комиссией Белгородской области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  <w:sz w:val="28"/>
                <w:lang w:eastAsia="en-US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Грайворонская</w:t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территориальная избирательная комиссия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(далее  -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Грайворонская ТИК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ТИК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1.2.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Участие в тематических дистанционных занятиях для организаторов выборов по вопросам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организации и проведения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выборов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депутатов Совета депутатов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на Обучающем портале Избирательной комиссии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Я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нварь-сентябрь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Участковые избирательные комиссии (далее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–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ИК)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1.3.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Применение типовых учебно-методических материалов в процессе обучения организаторов выборов и иных участников избирательного процесса, разработанных ЦИК России, Избирательной комиссией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1.4.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Распространение учебно-методических материалов, необходимых для организации и проведения обучения организаторов выборов и иных участников избирательного процесса,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разработанных ЦИК России, Избирательной комиссией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1.5.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Участие в  тематических занятиях (в режиме видеоконференции,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интернет-трансляций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учебных занятий 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вебинаров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) по актуальным вопросам избирательного права и избирательного процесса, организованных ЦИК России, Избирательной комиссией Белгородской области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1.6.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обучения председателей, заместителей председателей и секретарей участковых избирательных комиссий на семинарах, организованных избирательной комиссией Грайворонского городского округа по утверждаемым планам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1.7.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обучения членов участковых избирательных комиссий с правом решающего голоса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(их резерва), организованных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Грайворонской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ТИК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по утверждаемым планам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1.8.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Использование разработанных ЦИК России программ компьютерного тестирования членов избирательных комиссий разного уровня, других организаторов выборов по вопросам избирательного права и избирательного процесса, законодательства о референдумах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50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2. Обучение иных участников избирательного процесса 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(по согласованию – наблюдателей, представителей политических партий, </w:t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иных общественных объединений, средств массовой информации и т.д.)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2.1.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местных отделений политических партий по разъяснению законодательства о выборах в представительные органы местного самоуправления, процедурах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формирования новых составов участковых избирательных комиссий срока полномочий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2023-2028 годов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Февраль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ай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местных отделений политических партий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2.2.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jc w:val="both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общественных организаций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по разъяснению законодательства о выборах в представительные  органы местного самоуправления, процедурах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формирования новых составов участковых избирательных комиссий срока полномочий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2023-2028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годов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Февраль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ай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общественных организаций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2.3.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информационной газеты Грайворонского городского округа «Родной край»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по разъяснению законодательства о выборах, процедур голосования на выборах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Февраль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-с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местных СМИ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2.4.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местных отделений политических партий по разъяснению законодательства о выборах, процедур голосования на выборах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Январь-сентябрь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местных отделений политических партий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2.5.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  <w:highlight w:val="green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общественных организаций по разъяснению законодательства о выборах, процедур голосования на выборах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епутатов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Январь-сентябрь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общественных организаций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2.6.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совещаний с представителями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Государственного автономного учреждения Белгородской области «Многофункциональный центр предоставления государственных и муниципальных услуг» 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по вопросам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организации выборов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Совета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юнь-сентябрь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Представители ГАУ «МФЦ»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50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3. Обеспечение гарантий прав избирателей на своевременное получение полной </w:t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и достоверной информации </w:t>
            </w:r>
            <w:r/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о выборах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3.2.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Разъяснение избирательного законодательства в средствах массовой информации по вопросам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организации выборов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Март-сентябрь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Информационная газета Грайворонского городского округа «Родной край»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3.3.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Проведение мероприятий по повышению правовой культуры избирателей Грайворонского городского округа по вопросам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организации выборов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епутатов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Учреждения библиотечной системы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3.4.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Оказание методической помощи УИК по вопросам информационно-разъяснительной деятельности при подготовке и проведении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выборов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депутатов Совета депутатов Грайворонского городского округа второго созыва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Март-сентябрь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УИК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3.5.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Регулярное наполнение</w:t>
            </w:r>
            <w:r>
              <w:rPr>
                <w:rFonts w:ascii="PT Astra Serif" w:hAnsi="PT Astra Serif" w:cs="PT Astra Serif" w:eastAsia="PT Astra Serif"/>
                <w:sz w:val="28"/>
                <w:szCs w:val="26"/>
              </w:rPr>
              <w:t xml:space="preserve"> страницы Грайворонской ТИК на официальном сайте Избирательной комиссии Белгородской области в информационно-телекоммуникационной сети «Интернет»,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 раздела «Избирательная комиссия» на сайте органов местного самоуправления Грайворонского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городского округа информацией, посвященной вопросам обучения организаторов выборов и иных участников избирательного процесса, повышения правовой культуры избирателей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Органы местного самоуправления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50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4. Повышение уровня знаний избирателей об институтах выборов и референдума,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  <w:t xml:space="preserve">побуждение граждан к участию в выборах и референдумах</w:t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  <w:p>
            <w:pPr>
              <w:pStyle w:val="670"/>
              <w:jc w:val="center"/>
              <w:rPr>
                <w:rFonts w:ascii="PT Astra Serif" w:hAnsi="PT Astra Serif" w:cs="PT Astra Serif" w:eastAsia="PT Astra Serif"/>
                <w:b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  <w:lang w:eastAsia="en-US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4.1.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семинаров («круглых столов») с Молодёжной избирательной комиссией Грайворонского городского округа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4.2.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Подготовка и проведение ежегодного комплекса мероприятий с молодыми и будущими избирателями в рамках Всероссийского Дня молодого избирателя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евраль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- ма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рт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Образовательные организации, у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чреждения библиотечной системы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4.3.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Организация и проведение мероприятий по повышению правовой культуры молодых и будущих избирателей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МИК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Образовательные организации, у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чреждения библиотечной системы,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4.4.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46" w:type="dxa"/>
            <w:textDirection w:val="lrTb"/>
            <w:noWrap w:val="false"/>
          </w:tcPr>
          <w:p>
            <w:pPr>
              <w:pStyle w:val="670"/>
              <w:tabs>
                <w:tab w:val="left" w:pos="5910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Проведение ознакомительных экскурсий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ab/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br/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Грайворонской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В течение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ТИК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pStyle w:val="67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  <w:lang w:eastAsia="en-US"/>
              </w:rPr>
              <w:t xml:space="preserve">Образовательные организации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ind w:firstLine="0"/>
        <w:tabs>
          <w:tab w:val="left" w:pos="4220" w:leader="none"/>
        </w:tabs>
        <w:rPr>
          <w:color w:val="auto"/>
        </w:rPr>
      </w:pPr>
      <w:r>
        <w:rPr>
          <w:rFonts w:ascii="PT Astra Serif" w:hAnsi="PT Astra Serif" w:cs="PT Astra Serif" w:eastAsia="PT Astra Serif"/>
          <w:color w:val="auto"/>
          <w:sz w:val="28"/>
        </w:rPr>
      </w:r>
      <w:r>
        <w:rPr>
          <w:rFonts w:ascii="PT Astra Serif" w:hAnsi="PT Astra Serif" w:cs="PT Astra Serif" w:eastAsia="PT Astra Serif"/>
          <w:color w:val="auto"/>
          <w:sz w:val="28"/>
        </w:rPr>
      </w:r>
      <w:r/>
    </w:p>
    <w:sectPr>
      <w:footnotePr/>
      <w:endnotePr/>
      <w:type w:val="nextPage"/>
      <w:pgSz w:w="16838" w:h="11906" w:orient="landscape"/>
      <w:pgMar w:top="1701" w:right="1134" w:bottom="850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Heading 1"/>
    <w:basedOn w:val="829"/>
    <w:next w:val="829"/>
    <w:link w:val="65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3">
    <w:name w:val="Heading 1 Char"/>
    <w:basedOn w:val="831"/>
    <w:link w:val="652"/>
    <w:uiPriority w:val="9"/>
    <w:rPr>
      <w:rFonts w:ascii="Arial" w:hAnsi="Arial" w:cs="Arial" w:eastAsia="Arial"/>
      <w:sz w:val="40"/>
      <w:szCs w:val="40"/>
    </w:rPr>
  </w:style>
  <w:style w:type="paragraph" w:styleId="654">
    <w:name w:val="Heading 2"/>
    <w:basedOn w:val="829"/>
    <w:next w:val="829"/>
    <w:link w:val="6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5">
    <w:name w:val="Heading 2 Char"/>
    <w:basedOn w:val="831"/>
    <w:link w:val="654"/>
    <w:uiPriority w:val="9"/>
    <w:rPr>
      <w:rFonts w:ascii="Arial" w:hAnsi="Arial" w:cs="Arial" w:eastAsia="Arial"/>
      <w:sz w:val="34"/>
    </w:rPr>
  </w:style>
  <w:style w:type="paragraph" w:styleId="656">
    <w:name w:val="Heading 3"/>
    <w:basedOn w:val="829"/>
    <w:next w:val="829"/>
    <w:link w:val="6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7">
    <w:name w:val="Heading 3 Char"/>
    <w:basedOn w:val="831"/>
    <w:link w:val="656"/>
    <w:uiPriority w:val="9"/>
    <w:rPr>
      <w:rFonts w:ascii="Arial" w:hAnsi="Arial" w:cs="Arial" w:eastAsia="Arial"/>
      <w:sz w:val="30"/>
      <w:szCs w:val="30"/>
    </w:rPr>
  </w:style>
  <w:style w:type="character" w:styleId="658">
    <w:name w:val="Heading 4 Char"/>
    <w:basedOn w:val="831"/>
    <w:link w:val="830"/>
    <w:uiPriority w:val="9"/>
    <w:rPr>
      <w:rFonts w:ascii="Arial" w:hAnsi="Arial" w:cs="Arial" w:eastAsia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0">
    <w:name w:val="Heading 5 Char"/>
    <w:basedOn w:val="831"/>
    <w:link w:val="659"/>
    <w:uiPriority w:val="9"/>
    <w:rPr>
      <w:rFonts w:ascii="Arial" w:hAnsi="Arial" w:cs="Arial" w:eastAsia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2">
    <w:name w:val="Heading 6 Char"/>
    <w:basedOn w:val="831"/>
    <w:link w:val="661"/>
    <w:uiPriority w:val="9"/>
    <w:rPr>
      <w:rFonts w:ascii="Arial" w:hAnsi="Arial" w:cs="Arial" w:eastAsia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4">
    <w:name w:val="Heading 7 Char"/>
    <w:basedOn w:val="831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6">
    <w:name w:val="Heading 8 Char"/>
    <w:basedOn w:val="831"/>
    <w:link w:val="665"/>
    <w:uiPriority w:val="9"/>
    <w:rPr>
      <w:rFonts w:ascii="Arial" w:hAnsi="Arial" w:cs="Arial" w:eastAsia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>
    <w:name w:val="Heading 9 Char"/>
    <w:basedOn w:val="831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69">
    <w:name w:val="List Paragraph"/>
    <w:basedOn w:val="829"/>
    <w:qFormat/>
    <w:uiPriority w:val="34"/>
    <w:pPr>
      <w:contextualSpacing w:val="true"/>
      <w:ind w:left="720"/>
    </w:pPr>
  </w:style>
  <w:style w:type="paragraph" w:styleId="670">
    <w:name w:val="No Spacing"/>
    <w:qFormat/>
    <w:uiPriority w:val="1"/>
    <w:pPr>
      <w:spacing w:lineRule="auto" w:line="240" w:after="0" w:before="0"/>
    </w:pPr>
  </w:style>
  <w:style w:type="paragraph" w:styleId="671">
    <w:name w:val="Title"/>
    <w:basedOn w:val="829"/>
    <w:next w:val="829"/>
    <w:link w:val="67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2">
    <w:name w:val="Title Char"/>
    <w:basedOn w:val="831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qFormat/>
    <w:uiPriority w:val="11"/>
    <w:rPr>
      <w:sz w:val="24"/>
      <w:szCs w:val="24"/>
    </w:rPr>
    <w:pPr>
      <w:spacing w:after="200" w:before="200"/>
    </w:pPr>
  </w:style>
  <w:style w:type="character" w:styleId="674">
    <w:name w:val="Subtitle Char"/>
    <w:basedOn w:val="831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qFormat/>
    <w:uiPriority w:val="29"/>
    <w:rPr>
      <w:i/>
    </w:rPr>
    <w:pPr>
      <w:ind w:left="720" w:right="720"/>
    </w:p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Header Char"/>
    <w:basedOn w:val="831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>
    <w:name w:val="Footer Char"/>
    <w:basedOn w:val="831"/>
    <w:link w:val="681"/>
    <w:uiPriority w:val="99"/>
  </w:style>
  <w:style w:type="paragraph" w:styleId="683">
    <w:name w:val="Caption"/>
    <w:basedOn w:val="829"/>
    <w:next w:val="8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basedOn w:val="8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8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4">
    <w:name w:val="Grid Table 4 - Accent 1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5">
    <w:name w:val="Grid Table 4 - Accent 2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6">
    <w:name w:val="Grid Table 4 - Accent 3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7">
    <w:name w:val="Grid Table 4 - Accent 4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8">
    <w:name w:val="Grid Table 4 - Accent 5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9">
    <w:name w:val="Grid Table 4 - Accent 6"/>
    <w:basedOn w:val="8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0">
    <w:name w:val="Grid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9">
    <w:name w:val="List Table 2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0">
    <w:name w:val="List Table 2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1">
    <w:name w:val="List Table 2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2">
    <w:name w:val="List Table 2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3">
    <w:name w:val="List Table 2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4">
    <w:name w:val="List Table 2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5">
    <w:name w:val="List Table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7">
    <w:name w:val="List Table 6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8">
    <w:name w:val="List Table 6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List Table 6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0">
    <w:name w:val="List Table 6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List Table 6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2">
    <w:name w:val="List Table 6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3">
    <w:name w:val="List Table 7 Colorful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 &amp; Lined - Accent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8">
    <w:name w:val="Bordered &amp; Lined - Accent 1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9">
    <w:name w:val="Bordered &amp; Lined - Accent 2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0">
    <w:name w:val="Bordered &amp; Lined - Accent 3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1">
    <w:name w:val="Bordered &amp; Lined - Accent 4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2">
    <w:name w:val="Bordered &amp; Lined - Accent 5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3">
    <w:name w:val="Bordered &amp; Lined - Accent 6"/>
    <w:basedOn w:val="8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4">
    <w:name w:val="Bordered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5">
    <w:name w:val="Bordered - Accent 1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6">
    <w:name w:val="Bordered - Accent 2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7">
    <w:name w:val="Bordered - Accent 3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8">
    <w:name w:val="Bordered - Accent 4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9">
    <w:name w:val="Bordered - Accent 5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0">
    <w:name w:val="Bordered - Accent 6"/>
    <w:basedOn w:val="8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rPr>
      <w:sz w:val="18"/>
    </w:rPr>
    <w:pPr>
      <w:spacing w:lineRule="auto" w:line="240" w:after="40"/>
    </w:p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1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rPr>
      <w:sz w:val="20"/>
    </w:rPr>
    <w:pPr>
      <w:spacing w:lineRule="auto" w:line="240" w:after="0"/>
    </w:p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1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30">
    <w:name w:val="Heading 4"/>
    <w:basedOn w:val="829"/>
    <w:next w:val="829"/>
    <w:link w:val="842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 w:customStyle="1">
    <w:name w:val="Body Text 21"/>
    <w:basedOn w:val="829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5" w:customStyle="1">
    <w:name w:val="Т-14.5"/>
    <w:basedOn w:val="829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6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7" w:customStyle="1">
    <w:name w:val="Body Text 22"/>
    <w:basedOn w:val="829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8">
    <w:name w:val="Body Text Indent"/>
    <w:basedOn w:val="829"/>
    <w:link w:val="839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9" w:customStyle="1">
    <w:name w:val="Основной текст с отступом Знак"/>
    <w:basedOn w:val="831"/>
    <w:link w:val="838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40">
    <w:name w:val="Body Text 2"/>
    <w:basedOn w:val="829"/>
    <w:link w:val="841"/>
    <w:uiPriority w:val="99"/>
    <w:semiHidden/>
    <w:unhideWhenUsed/>
    <w:pPr>
      <w:spacing w:lineRule="auto" w:line="480" w:after="120"/>
    </w:pPr>
  </w:style>
  <w:style w:type="character" w:styleId="841" w:customStyle="1">
    <w:name w:val="Основной текст 2 Знак"/>
    <w:basedOn w:val="831"/>
    <w:link w:val="840"/>
    <w:uiPriority w:val="99"/>
    <w:semiHidden/>
  </w:style>
  <w:style w:type="character" w:styleId="842" w:customStyle="1">
    <w:name w:val="Заголовок 4 Знак"/>
    <w:basedOn w:val="831"/>
    <w:link w:val="830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3">
    <w:name w:val="Body Text"/>
    <w:basedOn w:val="829"/>
    <w:link w:val="844"/>
    <w:uiPriority w:val="99"/>
    <w:unhideWhenUsed/>
    <w:pPr>
      <w:spacing w:after="120"/>
    </w:pPr>
  </w:style>
  <w:style w:type="character" w:styleId="844" w:customStyle="1">
    <w:name w:val="Основной текст Знак"/>
    <w:basedOn w:val="831"/>
    <w:link w:val="843"/>
    <w:uiPriority w:val="99"/>
  </w:style>
  <w:style w:type="paragraph" w:styleId="8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6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7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8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9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0">
    <w:name w:val="Название"/>
    <w:basedOn w:val="677"/>
    <w:next w:val="711"/>
    <w:link w:val="677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51">
    <w:name w:val="Strong"/>
    <w:basedOn w:val="712"/>
    <w:qFormat/>
    <w:uiPriority w:val="0"/>
    <w:rPr>
      <w:rFonts w:ascii="Times New Roman" w:hAnsi="Times New Roman" w:cs="Times New Roman" w:eastAsia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23</cp:revision>
  <dcterms:created xsi:type="dcterms:W3CDTF">2021-02-01T10:33:00Z</dcterms:created>
  <dcterms:modified xsi:type="dcterms:W3CDTF">2023-02-09T06:20:58Z</dcterms:modified>
</cp:coreProperties>
</file>