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object w:dxaOrig="1035" w:dyaOrig="11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mso-wrap-distance-left:9.1pt;mso-wrap-distance-top:0.0pt;mso-wrap-distance-right:9.1pt;mso-wrap-distance-bottom:0.0pt;z-index:2048;o:allowoverlap:true;o:allowincell:true;mso-position-horizontal-relative:text;margin-left:197.2pt;mso-position-horizontal:absolute;mso-position-vertical-relative:text;margin-top:4.5pt;mso-position-vertical:absolute;width:44.2pt;height:48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/>
    </w:p>
    <w:p>
      <w:pPr>
        <w:pStyle w:val="858"/>
        <w:ind w:firstLine="0"/>
        <w:jc w:val="center"/>
        <w:spacing w:lineRule="auto" w:line="240"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58"/>
        <w:ind w:firstLine="0"/>
        <w:jc w:val="center"/>
        <w:spacing w:lineRule="auto" w:line="240"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58"/>
        <w:ind w:firstLine="0"/>
        <w:jc w:val="center"/>
        <w:spacing w:lineRule="auto" w:line="240" w:after="0"/>
        <w:rPr>
          <w:rFonts w:ascii="PT Astra Serif" w:hAnsi="PT Astra Serif" w:cs="PT Astra Serif" w:eastAsia="PT Astra Serif"/>
          <w:b/>
          <w:sz w:val="32"/>
        </w:rPr>
      </w:pPr>
      <w:r>
        <w:rPr>
          <w:rFonts w:ascii="PT Astra Serif" w:hAnsi="PT Astra Serif" w:cs="PT Astra Serif" w:eastAsia="PT Astra Serif"/>
          <w:b/>
          <w:sz w:val="32"/>
        </w:rPr>
        <w:t xml:space="preserve">ГРАЙВОРОНСКАЯ ТЕРРИТОРИАЛЬНАЯ </w:t>
      </w:r>
      <w:r>
        <w:rPr>
          <w:rFonts w:ascii="PT Astra Serif" w:hAnsi="PT Astra Serif" w:cs="PT Astra Serif" w:eastAsia="PT Astra Serif"/>
          <w:sz w:val="32"/>
        </w:rPr>
      </w:r>
      <w:r/>
    </w:p>
    <w:p>
      <w:pPr>
        <w:pStyle w:val="858"/>
        <w:ind w:firstLine="0"/>
        <w:jc w:val="center"/>
        <w:spacing w:lineRule="auto" w:line="240" w:after="0"/>
        <w:rPr>
          <w:rFonts w:ascii="PT Astra Serif" w:hAnsi="PT Astra Serif" w:cs="PT Astra Serif" w:eastAsia="PT Astra Serif"/>
          <w:b/>
          <w:sz w:val="32"/>
        </w:rPr>
      </w:pPr>
      <w:r>
        <w:rPr>
          <w:rFonts w:ascii="PT Astra Serif" w:hAnsi="PT Astra Serif" w:cs="PT Astra Serif" w:eastAsia="PT Astra Serif"/>
          <w:b/>
          <w:sz w:val="32"/>
        </w:rPr>
        <w:t xml:space="preserve">ИЗБИРАТЕЛЬНАЯ КОМИССИЯ</w:t>
      </w:r>
      <w:r>
        <w:rPr>
          <w:rFonts w:ascii="PT Astra Serif" w:hAnsi="PT Astra Serif" w:cs="PT Astra Serif" w:eastAsia="PT Astra Serif"/>
          <w:sz w:val="32"/>
        </w:rPr>
      </w:r>
      <w:r/>
    </w:p>
    <w:p>
      <w:pPr>
        <w:pStyle w:val="834"/>
        <w:ind w:firstLine="0"/>
        <w:jc w:val="center"/>
        <w:spacing w:lineRule="auto" w:line="240" w:after="0"/>
        <w:rPr>
          <w:rFonts w:ascii="PT Astra Serif" w:hAnsi="PT Astra Serif" w:cs="PT Astra Serif" w:eastAsia="PT Astra Serif"/>
          <w:sz w:val="32"/>
        </w:rPr>
      </w:pPr>
      <w:r>
        <w:rPr>
          <w:rFonts w:ascii="PT Astra Serif" w:hAnsi="PT Astra Serif" w:cs="PT Astra Serif" w:eastAsia="PT Astra Serif"/>
          <w:sz w:val="32"/>
        </w:rPr>
      </w:r>
      <w:r>
        <w:rPr>
          <w:rFonts w:ascii="PT Astra Serif" w:hAnsi="PT Astra Serif" w:cs="PT Astra Serif" w:eastAsia="PT Astra Serif"/>
          <w:sz w:val="32"/>
        </w:rPr>
      </w:r>
      <w:r/>
    </w:p>
    <w:p>
      <w:pPr>
        <w:pStyle w:val="834"/>
        <w:ind w:firstLine="0"/>
        <w:jc w:val="center"/>
        <w:spacing w:lineRule="auto" w:line="240" w:after="0"/>
        <w:rPr>
          <w:rFonts w:ascii="PT Astra Serif" w:hAnsi="PT Astra Serif" w:cs="PT Astra Serif" w:eastAsia="PT Astra Serif"/>
          <w:sz w:val="32"/>
        </w:rPr>
      </w:pPr>
      <w:r>
        <w:rPr>
          <w:rFonts w:ascii="PT Astra Serif" w:hAnsi="PT Astra Serif" w:cs="PT Astra Serif" w:eastAsia="PT Astra Serif"/>
          <w:b/>
          <w:spacing w:val="60"/>
          <w:sz w:val="32"/>
        </w:rPr>
        <w:t xml:space="preserve">ПОСТАНОВЛЕНИЕ</w:t>
      </w:r>
      <w:r>
        <w:rPr>
          <w:rFonts w:ascii="PT Astra Serif" w:hAnsi="PT Astra Serif" w:cs="PT Astra Serif" w:eastAsia="PT Astra Serif"/>
          <w:sz w:val="32"/>
        </w:rPr>
      </w:r>
      <w:r/>
    </w:p>
    <w:p>
      <w:pPr>
        <w:jc w:val="left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pacing w:val="60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Style w:val="690"/>
        <w:tblW w:w="0" w:type="auto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09 февраля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№13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/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44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-1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ind w:right="467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62"/>
        <w:ind w:right="481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Об утверждении Комплексного плана по обучению членов избирательных комиссий и иных участников избирательного процесса Грайворонского городского округа на 202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год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62"/>
        <w:ind w:right="4818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7"/>
        <w:ind w:firstLine="742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 целью подготовки квалифицированных кадров для избирательных комиссий и в соответствии с </w:t>
      </w: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Комплексом мер по обучению организаторов выборов и иных участников избирательного процесса, повышению правовой культуры </w:t>
      </w: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избирателей на 2023 год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утвержденных постановлением Грайворонской территориальной избирательной комиссией от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09 февраля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2023 года №14/42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–1, Грайворонская территориальная избирательная комиссия постановляет: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7"/>
        <w:ind w:firstLine="742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 Утвердить Комплексный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план по обучению членов избирательных комиссий и иных участников избирательного процесса Грайворонского городского округа на 202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 (прилагается).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7"/>
        <w:ind w:firstLine="742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 Организовать для участников обучения проведение итогового тестирования (опроса) по проверке полученных знаний по избирательному законодательству и избирательному процессу в рамках программ обучения.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7"/>
        <w:ind w:firstLine="742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3. Обеспечить (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Крамской В.И.)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своевременный ввод данных об обучении и тестировании членов избирательных комиссий, резерва составов участковых избирательных комиссий в задачу «Кадры» ПАИП ГАС «Выборы».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7"/>
        <w:ind w:left="0" w:right="0"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4. Размещать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(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Угольникова Л.А.)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информационно-телекоммуникационн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сети «Интернет» на странице Грайворонской территориальной избирательной комиссии на официальном сайте Избирательной комиссии Белгородской области, на сайте органов местного самоуправления Грайворонского городского округа в разделе «Грайворонская территориальная избирательная комиссия»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на официальных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страницах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материалы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сети Интернет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 проведенных обучающих мероприятиях.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7"/>
        <w:ind w:firstLine="742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Разместить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настоящее постановление на странице Грайворонской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7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Контроль за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исполнением настоящего постановления возложить на секретаря Грайворонской территориальной избирательной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Л.А. Угольникову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7"/>
        <w:ind w:firstLine="709"/>
        <w:jc w:val="both"/>
        <w:spacing w:lineRule="auto" w:line="27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Style w:val="690"/>
        <w:tblW w:w="0" w:type="auto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pStyle w:val="67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Председатель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территориальной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pStyle w:val="677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pStyle w:val="67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Секретарь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территориальной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pStyle w:val="677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shd w:val="nil" w:fill="FFFFFF" w:color="FFFFFF"/>
        <w:rPr>
          <w:rFonts w:ascii="PT Astra Serif" w:hAnsi="PT Astra Serif" w:cs="PT Astra Serif" w:eastAsia="PT Astra Serif"/>
          <w:color w:val="000000" w:themeColor="text1"/>
          <w:sz w:val="28"/>
        </w:rPr>
        <w:outlineLvl w:val="5"/>
      </w:pPr>
      <w:r>
        <w:rPr>
          <w:rFonts w:ascii="PT Astra Serif" w:hAnsi="PT Astra Serif" w:cs="PT Astra Serif" w:eastAsia="PT Astra Serif"/>
          <w:color w:val="000000" w:themeColor="text1"/>
          <w:sz w:val="28"/>
          <w:szCs w:val="26"/>
        </w:rPr>
      </w:r>
      <w:r>
        <w:rPr>
          <w:rFonts w:ascii="PT Astra Serif" w:hAnsi="PT Astra Serif" w:cs="PT Astra Serif" w:eastAsia="PT Astra Serif"/>
          <w:color w:val="000000" w:themeColor="text1"/>
          <w:sz w:val="28"/>
          <w:szCs w:val="26"/>
        </w:rPr>
      </w:r>
      <w:r>
        <w:rPr>
          <w:color w:val="000000" w:themeColor="text1"/>
        </w:rPr>
      </w:r>
    </w:p>
    <w:p>
      <w:pPr>
        <w:ind w:left="4500"/>
        <w:jc w:val="center"/>
        <w:keepLines/>
        <w:spacing w:after="0"/>
        <w:rPr>
          <w:rFonts w:ascii="PT Astra Serif" w:hAnsi="PT Astra Serif" w:cs="PT Astra Serif" w:eastAsia="PT Astra Serif"/>
          <w:color w:val="000000"/>
          <w:sz w:val="28"/>
          <w:szCs w:val="26"/>
        </w:rPr>
        <w:outlineLvl w:val="5"/>
      </w:pPr>
      <w:r>
        <w:rPr>
          <w:rFonts w:ascii="PT Astra Serif" w:hAnsi="PT Astra Serif" w:cs="PT Astra Serif" w:eastAsia="PT Astra Serif"/>
          <w:color w:val="000000" w:themeColor="text1"/>
          <w:sz w:val="28"/>
          <w:szCs w:val="26"/>
        </w:rPr>
      </w:r>
      <w:r>
        <w:rPr>
          <w:rFonts w:ascii="PT Astra Serif" w:hAnsi="PT Astra Serif" w:cs="PT Astra Serif" w:eastAsia="PT Astra Serif"/>
          <w:color w:val="000000" w:themeColor="text1"/>
          <w:sz w:val="28"/>
        </w:rPr>
      </w:r>
      <w:r/>
    </w:p>
    <w:p>
      <w:pPr>
        <w:ind w:left="4500"/>
        <w:jc w:val="center"/>
        <w:keepLines/>
        <w:spacing w:after="0"/>
        <w:rPr>
          <w:rFonts w:ascii="PT Astra Serif" w:hAnsi="PT Astra Serif" w:cs="PT Astra Serif" w:eastAsia="PT Astra Serif"/>
          <w:color w:val="000000"/>
          <w:sz w:val="28"/>
          <w:szCs w:val="26"/>
        </w:rPr>
        <w:outlineLvl w:val="5"/>
      </w:pPr>
      <w:r>
        <w:rPr>
          <w:rFonts w:ascii="PT Astra Serif" w:hAnsi="PT Astra Serif" w:cs="PT Astra Serif" w:eastAsia="PT Astra Serif"/>
          <w:color w:val="000000" w:themeColor="text1"/>
          <w:sz w:val="28"/>
          <w:szCs w:val="26"/>
        </w:rPr>
      </w:r>
      <w:r>
        <w:rPr>
          <w:rFonts w:ascii="PT Astra Serif" w:hAnsi="PT Astra Serif" w:cs="PT Astra Serif" w:eastAsia="PT Astra Serif"/>
          <w:color w:val="000000" w:themeColor="text1"/>
          <w:sz w:val="28"/>
          <w:szCs w:val="26"/>
        </w:rPr>
      </w:r>
      <w:r/>
    </w:p>
    <w:p>
      <w:pPr>
        <w:ind w:left="4500"/>
        <w:jc w:val="center"/>
        <w:keepLines/>
        <w:spacing w:after="0"/>
        <w:rPr>
          <w:rFonts w:ascii="PT Astra Serif" w:hAnsi="PT Astra Serif" w:cs="PT Astra Serif" w:eastAsia="PT Astra Serif"/>
          <w:color w:val="000000"/>
          <w:sz w:val="28"/>
          <w:szCs w:val="26"/>
        </w:rPr>
        <w:outlineLvl w:val="5"/>
      </w:pPr>
      <w:r>
        <w:rPr>
          <w:rFonts w:ascii="PT Astra Serif" w:hAnsi="PT Astra Serif" w:cs="PT Astra Serif" w:eastAsia="PT Astra Serif"/>
          <w:color w:val="000000" w:themeColor="text1"/>
          <w:sz w:val="28"/>
          <w:szCs w:val="26"/>
        </w:rPr>
      </w:r>
      <w:r>
        <w:rPr>
          <w:rFonts w:ascii="PT Astra Serif" w:hAnsi="PT Astra Serif" w:cs="PT Astra Serif" w:eastAsia="PT Astra Serif"/>
          <w:color w:val="000000" w:themeColor="text1"/>
          <w:sz w:val="28"/>
          <w:szCs w:val="26"/>
        </w:rPr>
      </w:r>
      <w:r/>
    </w:p>
    <w:p>
      <w:pPr>
        <w:ind w:left="4500"/>
        <w:jc w:val="center"/>
        <w:keepLines/>
        <w:spacing w:after="0"/>
        <w:rPr>
          <w:rFonts w:ascii="PT Astra Serif" w:hAnsi="PT Astra Serif" w:cs="PT Astra Serif" w:eastAsia="PT Astra Serif"/>
          <w:color w:val="000000"/>
          <w:sz w:val="28"/>
          <w:szCs w:val="26"/>
        </w:rPr>
        <w:outlineLvl w:val="5"/>
      </w:pPr>
      <w:r>
        <w:rPr>
          <w:rFonts w:ascii="PT Astra Serif" w:hAnsi="PT Astra Serif" w:cs="PT Astra Serif" w:eastAsia="PT Astra Serif"/>
          <w:color w:val="000000" w:themeColor="text1"/>
          <w:sz w:val="28"/>
          <w:szCs w:val="26"/>
        </w:rPr>
      </w:r>
      <w:r>
        <w:rPr>
          <w:rFonts w:ascii="PT Astra Serif" w:hAnsi="PT Astra Serif" w:cs="PT Astra Serif" w:eastAsia="PT Astra Serif"/>
          <w:color w:val="000000" w:themeColor="text1"/>
          <w:sz w:val="28"/>
          <w:szCs w:val="26"/>
        </w:rPr>
      </w:r>
      <w:r/>
    </w:p>
    <w:p>
      <w:pPr>
        <w:ind w:left="4500"/>
        <w:jc w:val="center"/>
        <w:keepLines/>
        <w:spacing w:after="0"/>
        <w:rPr>
          <w:rFonts w:ascii="PT Astra Serif" w:hAnsi="PT Astra Serif" w:cs="PT Astra Serif" w:eastAsia="PT Astra Serif"/>
          <w:color w:val="000000"/>
          <w:sz w:val="28"/>
          <w:szCs w:val="26"/>
        </w:rPr>
        <w:outlineLvl w:val="5"/>
      </w:pPr>
      <w:r>
        <w:rPr>
          <w:rFonts w:ascii="PT Astra Serif" w:hAnsi="PT Astra Serif" w:cs="PT Astra Serif" w:eastAsia="PT Astra Serif"/>
          <w:color w:val="000000" w:themeColor="text1"/>
          <w:sz w:val="28"/>
          <w:szCs w:val="26"/>
        </w:rPr>
      </w:r>
      <w:r>
        <w:rPr>
          <w:rFonts w:ascii="PT Astra Serif" w:hAnsi="PT Astra Serif" w:cs="PT Astra Serif" w:eastAsia="PT Astra Serif"/>
          <w:color w:val="000000" w:themeColor="text1"/>
          <w:sz w:val="28"/>
          <w:szCs w:val="26"/>
        </w:rPr>
      </w:r>
      <w:r/>
    </w:p>
    <w:p>
      <w:pPr>
        <w:ind w:left="4500"/>
        <w:jc w:val="center"/>
        <w:keepLines/>
        <w:spacing w:after="0"/>
        <w:rPr>
          <w:rFonts w:ascii="PT Astra Serif" w:hAnsi="PT Astra Serif" w:cs="PT Astra Serif" w:eastAsia="PT Astra Serif"/>
          <w:color w:val="000000"/>
          <w:sz w:val="28"/>
          <w:szCs w:val="26"/>
        </w:rPr>
        <w:outlineLvl w:val="5"/>
      </w:pPr>
      <w:r>
        <w:rPr>
          <w:rFonts w:ascii="PT Astra Serif" w:hAnsi="PT Astra Serif" w:cs="PT Astra Serif" w:eastAsia="PT Astra Serif"/>
          <w:color w:val="000000" w:themeColor="text1"/>
          <w:sz w:val="28"/>
          <w:szCs w:val="26"/>
        </w:rPr>
      </w:r>
      <w:r>
        <w:rPr>
          <w:rFonts w:ascii="PT Astra Serif" w:hAnsi="PT Astra Serif" w:cs="PT Astra Serif" w:eastAsia="PT Astra Serif"/>
          <w:color w:val="000000" w:themeColor="text1"/>
          <w:sz w:val="28"/>
          <w:szCs w:val="26"/>
        </w:rPr>
      </w:r>
      <w:r/>
    </w:p>
    <w:p>
      <w:pPr>
        <w:ind w:left="4500"/>
        <w:jc w:val="center"/>
        <w:keepLines/>
        <w:spacing w:after="0"/>
        <w:rPr>
          <w:rFonts w:ascii="PT Astra Serif" w:hAnsi="PT Astra Serif" w:cs="PT Astra Serif" w:eastAsia="PT Astra Serif"/>
          <w:color w:val="000000"/>
          <w:sz w:val="28"/>
          <w:szCs w:val="26"/>
        </w:rPr>
        <w:outlineLvl w:val="5"/>
      </w:pPr>
      <w:r>
        <w:rPr>
          <w:rFonts w:ascii="PT Astra Serif" w:hAnsi="PT Astra Serif" w:cs="PT Astra Serif" w:eastAsia="PT Astra Serif"/>
          <w:color w:val="000000" w:themeColor="text1"/>
          <w:sz w:val="28"/>
          <w:szCs w:val="26"/>
        </w:rPr>
      </w:r>
      <w:r>
        <w:rPr>
          <w:rFonts w:ascii="PT Astra Serif" w:hAnsi="PT Astra Serif" w:cs="PT Astra Serif" w:eastAsia="PT Astra Serif"/>
          <w:color w:val="000000" w:themeColor="text1"/>
          <w:sz w:val="28"/>
          <w:szCs w:val="26"/>
        </w:rPr>
      </w:r>
      <w:r/>
    </w:p>
    <w:p>
      <w:pPr>
        <w:ind w:left="4500"/>
        <w:jc w:val="center"/>
        <w:keepLines/>
        <w:spacing w:after="0"/>
        <w:rPr>
          <w:rFonts w:ascii="PT Astra Serif" w:hAnsi="PT Astra Serif" w:cs="PT Astra Serif" w:eastAsia="PT Astra Serif"/>
          <w:color w:val="000000"/>
          <w:sz w:val="28"/>
          <w:szCs w:val="26"/>
        </w:rPr>
        <w:outlineLvl w:val="5"/>
      </w:pPr>
      <w:r>
        <w:rPr>
          <w:rFonts w:ascii="PT Astra Serif" w:hAnsi="PT Astra Serif" w:cs="PT Astra Serif" w:eastAsia="PT Astra Serif"/>
          <w:color w:val="000000" w:themeColor="text1"/>
          <w:sz w:val="28"/>
          <w:szCs w:val="26"/>
        </w:rPr>
      </w:r>
      <w:r>
        <w:rPr>
          <w:rFonts w:ascii="PT Astra Serif" w:hAnsi="PT Astra Serif" w:cs="PT Astra Serif" w:eastAsia="PT Astra Serif"/>
          <w:color w:val="000000" w:themeColor="text1"/>
          <w:sz w:val="28"/>
          <w:szCs w:val="26"/>
        </w:rPr>
      </w:r>
      <w:r/>
    </w:p>
    <w:p>
      <w:pPr>
        <w:ind w:left="4500"/>
        <w:jc w:val="center"/>
        <w:keepLines/>
        <w:spacing w:after="0"/>
        <w:rPr>
          <w:rFonts w:ascii="PT Astra Serif" w:hAnsi="PT Astra Serif" w:cs="PT Astra Serif" w:eastAsia="PT Astra Serif"/>
          <w:color w:val="000000"/>
          <w:sz w:val="28"/>
          <w:szCs w:val="26"/>
        </w:rPr>
        <w:outlineLvl w:val="5"/>
      </w:pPr>
      <w:r>
        <w:rPr>
          <w:rFonts w:ascii="PT Astra Serif" w:hAnsi="PT Astra Serif" w:cs="PT Astra Serif" w:eastAsia="PT Astra Serif"/>
          <w:color w:val="000000" w:themeColor="text1"/>
          <w:sz w:val="28"/>
          <w:szCs w:val="26"/>
        </w:rPr>
      </w:r>
      <w:r>
        <w:rPr>
          <w:rFonts w:ascii="PT Astra Serif" w:hAnsi="PT Astra Serif" w:cs="PT Astra Serif" w:eastAsia="PT Astra Serif"/>
          <w:color w:val="000000" w:themeColor="text1"/>
          <w:sz w:val="28"/>
          <w:szCs w:val="26"/>
        </w:rPr>
      </w:r>
      <w:r/>
    </w:p>
    <w:p>
      <w:pPr>
        <w:ind w:left="4500"/>
        <w:jc w:val="center"/>
        <w:keepLines/>
        <w:spacing w:after="0"/>
        <w:rPr>
          <w:rFonts w:ascii="PT Astra Serif" w:hAnsi="PT Astra Serif" w:cs="PT Astra Serif" w:eastAsia="PT Astra Serif"/>
          <w:color w:val="000000"/>
          <w:sz w:val="28"/>
          <w:szCs w:val="26"/>
        </w:rPr>
        <w:outlineLvl w:val="5"/>
      </w:pPr>
      <w:r>
        <w:rPr>
          <w:rFonts w:ascii="PT Astra Serif" w:hAnsi="PT Astra Serif" w:cs="PT Astra Serif" w:eastAsia="PT Astra Serif"/>
          <w:color w:val="000000" w:themeColor="text1"/>
          <w:sz w:val="28"/>
          <w:szCs w:val="26"/>
        </w:rPr>
      </w:r>
      <w:r>
        <w:rPr>
          <w:rFonts w:ascii="PT Astra Serif" w:hAnsi="PT Astra Serif" w:cs="PT Astra Serif" w:eastAsia="PT Astra Serif"/>
          <w:color w:val="000000" w:themeColor="text1"/>
          <w:sz w:val="28"/>
          <w:szCs w:val="26"/>
        </w:rPr>
      </w:r>
      <w:r/>
    </w:p>
    <w:p>
      <w:pPr>
        <w:ind w:left="4500"/>
        <w:jc w:val="center"/>
        <w:keepLines/>
        <w:spacing w:after="0"/>
        <w:rPr>
          <w:rFonts w:ascii="PT Astra Serif" w:hAnsi="PT Astra Serif" w:cs="PT Astra Serif" w:eastAsia="PT Astra Serif"/>
          <w:color w:val="000000"/>
          <w:sz w:val="28"/>
          <w:szCs w:val="26"/>
        </w:rPr>
        <w:outlineLvl w:val="5"/>
      </w:pPr>
      <w:r>
        <w:rPr>
          <w:rFonts w:ascii="PT Astra Serif" w:hAnsi="PT Astra Serif" w:cs="PT Astra Serif" w:eastAsia="PT Astra Serif"/>
          <w:color w:val="000000" w:themeColor="text1"/>
          <w:sz w:val="28"/>
          <w:szCs w:val="26"/>
        </w:rPr>
      </w:r>
      <w:r>
        <w:rPr>
          <w:rFonts w:ascii="PT Astra Serif" w:hAnsi="PT Astra Serif" w:cs="PT Astra Serif" w:eastAsia="PT Astra Serif"/>
          <w:color w:val="000000" w:themeColor="text1"/>
          <w:sz w:val="28"/>
          <w:szCs w:val="26"/>
        </w:rPr>
      </w:r>
      <w:r/>
    </w:p>
    <w:p>
      <w:pPr>
        <w:shd w:val="nil" w:fill="FFFFFF" w:color="FFFFFF"/>
        <w:rPr>
          <w:rFonts w:ascii="PT Astra Serif" w:hAnsi="PT Astra Serif" w:cs="PT Astra Serif" w:eastAsia="PT Astra Serif"/>
          <w:color w:val="000000"/>
          <w:sz w:val="28"/>
          <w:szCs w:val="26"/>
        </w:rPr>
        <w:outlineLvl w:val="5"/>
      </w:pPr>
      <w:r>
        <w:rPr>
          <w:rFonts w:ascii="PT Astra Serif" w:hAnsi="PT Astra Serif" w:cs="PT Astra Serif" w:eastAsia="PT Astra Serif"/>
          <w:color w:val="000000" w:themeColor="text1"/>
          <w:sz w:val="28"/>
          <w:szCs w:val="26"/>
        </w:rPr>
        <w:br w:type="page"/>
      </w:r>
      <w:r/>
    </w:p>
    <w:p>
      <w:pPr>
        <w:shd w:val="nil" w:fill="000000" w:color="000000"/>
        <w:rPr>
          <w:rFonts w:ascii="PT Astra Serif" w:hAnsi="PT Astra Serif" w:cs="PT Astra Serif" w:eastAsia="PT Astra Serif"/>
          <w:color w:val="000000"/>
          <w:sz w:val="28"/>
          <w:szCs w:val="26"/>
        </w:rPr>
        <w:sectPr>
          <w:footnotePr/>
          <w:endnotePr/>
          <w:type w:val="nextPage"/>
          <w:pgSz w:w="11906" w:h="16838" w:orient="portrait"/>
          <w:pgMar w:top="851" w:right="850" w:bottom="822" w:left="1276" w:header="709" w:footer="709" w:gutter="0"/>
          <w:cols w:num="1" w:sep="0" w:space="708" w:equalWidth="1"/>
          <w:docGrid w:linePitch="360"/>
        </w:sectPr>
        <w:outlineLvl w:val="5"/>
      </w:pPr>
      <w:r>
        <w:rPr>
          <w:rFonts w:ascii="PT Astra Serif" w:hAnsi="PT Astra Serif" w:cs="PT Astra Serif" w:eastAsia="PT Astra Serif"/>
          <w:color w:val="000000" w:themeColor="text1"/>
          <w:sz w:val="28"/>
          <w:szCs w:val="26"/>
        </w:rPr>
      </w:r>
      <w:r/>
    </w:p>
    <w:p>
      <w:pPr>
        <w:shd w:val="nil" w:fill="000000" w:color="000000"/>
        <w:rPr>
          <w:rFonts w:ascii="PT Astra Serif" w:hAnsi="PT Astra Serif" w:cs="PT Astra Serif" w:eastAsia="PT Astra Serif"/>
          <w:color w:val="000000"/>
          <w:sz w:val="28"/>
          <w:szCs w:val="26"/>
        </w:rPr>
        <w:outlineLvl w:val="5"/>
      </w:pPr>
      <w:r>
        <w:rPr>
          <w:rFonts w:ascii="PT Astra Serif" w:hAnsi="PT Astra Serif" w:cs="PT Astra Serif" w:eastAsia="PT Astra Serif"/>
          <w:color w:val="000000" w:themeColor="text1"/>
          <w:sz w:val="28"/>
          <w:szCs w:val="26"/>
        </w:rPr>
      </w:r>
      <w:r>
        <w:rPr>
          <w:rFonts w:ascii="PT Astra Serif" w:hAnsi="PT Astra Serif" w:cs="PT Astra Serif" w:eastAsia="PT Astra Serif"/>
          <w:color w:val="000000" w:themeColor="text1"/>
          <w:sz w:val="28"/>
          <w:szCs w:val="26"/>
        </w:rPr>
      </w:r>
      <w:r/>
    </w:p>
    <w:p>
      <w:pPr>
        <w:ind w:left="0" w:right="1842" w:firstLine="0"/>
        <w:jc w:val="right"/>
        <w:keepLines/>
        <w:spacing w:after="0"/>
        <w:rPr>
          <w:rFonts w:ascii="PT Astra Serif" w:hAnsi="PT Astra Serif" w:cs="PT Astra Serif" w:eastAsia="PT Astra Serif"/>
        </w:rPr>
        <w:outlineLvl w:val="5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УТВЕРЖДЕН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7"/>
        <w:ind w:left="9072" w:right="141"/>
        <w:jc w:val="center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8"/>
        </w:rPr>
        <w:t xml:space="preserve">постановлением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Грайворонской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ТИК</w:t>
      </w:r>
      <w:r>
        <w:rPr>
          <w:rFonts w:ascii="PT Astra Serif" w:hAnsi="PT Astra Serif" w:cs="PT Astra Serif" w:eastAsia="PT Astra Serif"/>
          <w:sz w:val="24"/>
          <w:szCs w:val="28"/>
        </w:rPr>
        <w:br/>
        <w:t xml:space="preserve"> от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09 февраля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2023 г. № 13/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44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-1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ind w:left="4500"/>
        <w:jc w:val="center"/>
        <w:keepLines/>
        <w:spacing w:after="0"/>
        <w:rPr>
          <w:rFonts w:ascii="PT Astra Serif" w:hAnsi="PT Astra Serif" w:cs="PT Astra Serif" w:eastAsia="PT Astra Serif"/>
          <w:color w:val="FF0000"/>
          <w:sz w:val="28"/>
        </w:rPr>
        <w:outlineLvl w:val="5"/>
      </w:pPr>
      <w:r>
        <w:rPr>
          <w:rFonts w:ascii="PT Astra Serif" w:hAnsi="PT Astra Serif" w:cs="PT Astra Serif" w:eastAsia="PT Astra Serif"/>
          <w:color w:val="FF0000"/>
          <w:sz w:val="28"/>
          <w:szCs w:val="26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7"/>
        <w:jc w:val="center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Комплексный план </w:t>
      </w:r>
      <w:r/>
    </w:p>
    <w:p>
      <w:pPr>
        <w:pStyle w:val="677"/>
        <w:jc w:val="center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 обучению членов избирательных комиссий и иных участников избирательного процесса </w:t>
      </w:r>
      <w:r/>
    </w:p>
    <w:p>
      <w:pPr>
        <w:pStyle w:val="677"/>
        <w:jc w:val="center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Грайворонского городского округа на 202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7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W w:w="15239" w:type="dxa"/>
        <w:tblInd w:w="5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4138"/>
        <w:gridCol w:w="2409"/>
        <w:gridCol w:w="1842"/>
        <w:gridCol w:w="2126"/>
        <w:gridCol w:w="1843"/>
        <w:gridCol w:w="2113"/>
      </w:tblGrid>
      <w:tr>
        <w:trPr>
          <w:tblHeader/>
        </w:trPr>
        <w:tc>
          <w:tcPr>
            <w:tcW w:w="767" w:type="dxa"/>
            <w:vAlign w:val="center"/>
            <w:textDirection w:val="lrTb"/>
            <w:noWrap w:val="false"/>
          </w:tcPr>
          <w:p>
            <w:pPr>
              <w:pStyle w:val="677"/>
              <w:jc w:val="center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№ 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/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center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vAlign w:val="center"/>
            <w:textDirection w:val="lrTb"/>
            <w:noWrap w:val="false"/>
          </w:tcPr>
          <w:p>
            <w:pPr>
              <w:pStyle w:val="677"/>
              <w:jc w:val="center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Тема занятия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pStyle w:val="677"/>
              <w:jc w:val="center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Форма мероприятия, место проведения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pStyle w:val="677"/>
              <w:jc w:val="center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Категория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center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обучающихся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677"/>
              <w:jc w:val="center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Сроки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center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проведения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677"/>
              <w:jc w:val="center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Контроль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center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знаний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vAlign w:val="center"/>
            <w:textDirection w:val="lrTb"/>
            <w:noWrap w:val="false"/>
          </w:tcPr>
          <w:p>
            <w:pPr>
              <w:pStyle w:val="677"/>
              <w:jc w:val="center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Ответственные исполнители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gridSpan w:val="7"/>
            <w:tcW w:w="15239" w:type="dxa"/>
            <w:textDirection w:val="lrTb"/>
            <w:noWrap w:val="false"/>
          </w:tcPr>
          <w:p>
            <w:pPr>
              <w:pStyle w:val="677"/>
              <w:jc w:val="center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1.Учебно-тематический план обучения членов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center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 (далее – Грайворонская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 ТИК, 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ТИК)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1.1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Cs/>
                <w:sz w:val="28"/>
              </w:rPr>
              <w:t xml:space="preserve">Избирательные системы в Российской Федерации</w:t>
            </w:r>
            <w:r>
              <w:rPr>
                <w:rFonts w:ascii="PT Astra Serif" w:hAnsi="PT Astra Serif" w:cs="PT Astra Serif" w:eastAsia="PT Astra Serif"/>
                <w:sz w:val="28"/>
                <w:lang w:eastAsia="en-US"/>
              </w:rPr>
              <w:t xml:space="preserve">: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-особенности применения избирательной системы на выборах разных уровней</w:t>
            </w:r>
            <w:r>
              <w:rPr>
                <w:rFonts w:ascii="PT Astra Serif" w:hAnsi="PT Astra Serif" w:cs="PT Astra Serif" w:eastAsia="PT Astra Serif"/>
                <w:sz w:val="28"/>
                <w:lang w:eastAsia="en-US"/>
              </w:rPr>
              <w:t xml:space="preserve">;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-порядок назначения выборов и основные этапы избирательных кампаний разных уровней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малый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зал заседаний  администрации Грайворонского городского округа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члены 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1.2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Система и статус избирательных комиссий, комиссий референдума, комиссий отзыва в Белгородской области: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-компетенция, полномочия и порядок деятельности;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-финансовое обеспечение;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-сроки полномочий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малый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зал заседаний  администрации Грайворонского городского округа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члены 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1.3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Условия формирования избирательных комиссий муниципальных образований, участковых избирательных комиссий: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-органы, осуществляющие формирование  избирательных комиссий;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-субъекты права внесения предложений по составу избирательных комиссий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малый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зал заседаний  администрации Грайворонского городского округа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члены 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1.4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Возложение полномочий избирательных комиссий муниципальных образований, окружных избирательных комиссий, территориальных избирательных комиссий на иные избирательные комиссии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малый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зал заседаний  администрации Грайворонского городского округа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члены 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1.5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Порядок внесения предложений о кандидатурах в состав избирательных комиссий политической партией, иным общественным объединением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малый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зал заседаний  администрации Грайворонского городского округа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члены 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1.6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Порядок участия в формировании избирательных комиссий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избирательны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ми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объединени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ями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списки кандидатов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которы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х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допущены к распределению депутатских мандатов в Государственной Думе Федерального Собрания Российской Федерации, законодательном (предст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авительном) органе государственной власти субъекта Российской Федерации, представительном органе муниципального образования, а также выдвинувших списки кандидатов, которым переданы депутатские мандаты в соответствии с законодательством Российской Федерации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малый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зал заседаний  администрации Грайворонского городского округа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члены 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1.7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Порядок формирования избирательных комиссий муниципальных образований: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-численный состав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-сроки полномочий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малый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зал заседаний  администрации Грайворонского городского округа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члены 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1.8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Порядок формирования участковых избирательных комиссий: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-численный состав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-сроки полномочий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малый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зал заседаний  администрации Грайворонского городского округа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члены 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1.9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 формах документов, используемых при подготовке и рассмотрении вопросов о формировании избирательных комиссий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малый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зал заседаний  администрации Грайворонского городского округа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члены 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1.10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Порядок назначения члена избирательной комиссии с правом решающего голоса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вместо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выбывшего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малый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зал заседаний  администрации Грайворонского городского округа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члены 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1.11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 приостановлении полномочий члена избирательной комиссии с правом решающего голоса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малый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зал заседаний  администрации Грайворонского городского округа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члены 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1.12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Формирование резерва составов участковых комиссий: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 основания и порядок дополнительного зачисления в резерв составов участковых комиссий;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-срок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и(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периоды) сбора предложений для дополнительного зачисления в резерв составов участковых комиссий;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-порядок  представления предложений для дополнительного зачисления в резерв составов участковых комиссий;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-случаи и порядок исключения лиц, состоящих в   резерве составов участковых комиссий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малый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зал заседаний  администрации Грайворонского городского округа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члены 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1.13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Назначение нового члена участковой комиссии из резерва составов участковых комиссий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малый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зал заседаний  администрации Грайворонского городского округа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члены 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1.14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ГАС «Выборы», статус и назначение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малый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зал заседаний  администрации Грайворонского городского округа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члены 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Крамской В.И.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1.15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Полномочия избирательных комиссий разных уровней в области использования, эксплуатации и развития ГАС «Выборы»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малый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зал заседаний  администрации Грайворонского городского округа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члены 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Крамской В.И.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1.16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Юридическая сила и достоверность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документов, подготовленных с использованием ГАС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«Выборы»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малый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зал заседаний  администрации Грайворонского городского округа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члены 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Крамской В.И.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1.18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Состав информационных ресурсов ГАС «Выборы»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малый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зал заседаний  администрации Грайворонского городского округа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члены 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Крамской В.И.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1.19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Доступ к информационным ресурсам ГАС  «Выборы»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малый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зал заседаний  администрации Грайворонского городского округа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члены 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Крамской В.И.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gridSpan w:val="7"/>
            <w:tcW w:w="15239" w:type="dxa"/>
            <w:textDirection w:val="lrTb"/>
            <w:noWrap w:val="false"/>
          </w:tcPr>
          <w:p>
            <w:pPr>
              <w:pStyle w:val="677"/>
              <w:ind w:firstLine="614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2.Учебно-тематический план обучения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center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членов участковых избирательных комиссий и резерва составов участковых избирательных комиссий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2.1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Cs/>
                <w:sz w:val="28"/>
              </w:rPr>
              <w:t xml:space="preserve">Избирательные системы в Российской Федерации</w:t>
            </w:r>
            <w:r>
              <w:rPr>
                <w:rFonts w:ascii="PT Astra Serif" w:hAnsi="PT Astra Serif" w:cs="PT Astra Serif" w:eastAsia="PT Astra Serif"/>
                <w:sz w:val="28"/>
                <w:lang w:eastAsia="en-US"/>
              </w:rPr>
              <w:t xml:space="preserve">: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-особенности применения избирательной системы на выборах разных уровней</w:t>
            </w:r>
            <w:r>
              <w:rPr>
                <w:rFonts w:ascii="PT Astra Serif" w:hAnsi="PT Astra Serif" w:cs="PT Astra Serif" w:eastAsia="PT Astra Serif"/>
                <w:sz w:val="28"/>
                <w:lang w:eastAsia="en-US"/>
              </w:rPr>
              <w:t xml:space="preserve">;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-порядок назначения выборов и основные этапы избирательных кампаний разных уровней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согласно утвержденному графику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члены УИК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2.2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Система и статус избирательных комиссий, комиссий референдума, комиссий отзыва в Белгородской области: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-компетенция, полномочия и порядок деятельности;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-финансовое обеспечение;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-сроки полномочий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согласно утвержденному графику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члены УИК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2.3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Условия формирования участковых избирательных комиссий: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-органы, осуществляющие формирование избирательных комиссий;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-субъекты права внесения предложений по составу избирательных комиссий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согласно утвержденному графику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члены УИК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2.4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Порядок внесения предложений о кандидатурах в состав избирательных комиссий политической партией, иным общественным объединением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согласно утвержденному графику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члены УИК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2.5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Порядок участия в формировании избирательных комиссий избирательны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ми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объединени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ями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списки кандидатов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которые допущены к распределению депутатских мандатов в Государственной Думе Федерального Собрания Российской Федерации, законодательном (предст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авительном) органе государственной власти субъекта Российской Федерации, представительном органе муниципального образования, а также выдвинувших списки кандидатов, которым переданы депутатские мандаты в соответствии с законодательством Российской Федерации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согласно утвержденному графику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члены УИК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2.6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Порядок формирования участковых избирательных комиссий: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-численный состав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-сроки полномочий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согласно утвержденному графику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члены УИК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2.7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 формах документов, используемых при подготовке и рассмотрении вопросов о формировании избирательных комиссий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согласно утвержденному графику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члены УИК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2.8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Порядок назначения члена избирательной комиссии с правом решающего голоса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вместо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выбывшего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согласно утвержденному графику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члены УИК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2.9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 приостановлении полномочий члена избирательной комиссии с правом решающего голоса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согласно утвержденному графику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члены УИК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2.10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Формирование резерва составов участковых комиссий: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 основания и порядок дополнительного зачисления в резерв составов участковых комиссий;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-срок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и(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периоды) сбора предложений для дополнительного зачисления в резерв составов участковых комиссий;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-порядок  представления предложений для дополнительного зачисления в резерв составов участковых комиссий;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-случаи и порядок исключения лиц, состоящих в   резерве составов участковых комиссий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согласно утвержденному графику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члены УИК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2.11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Назначение нового члена участковой комиссии из резерва составов участковых комиссий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согласно утвержденному графику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члены УИК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2.12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ГАС «Выборы», статус и назначение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согласно утвержденному графику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члены УИК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Крамской В.И.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2.13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Полномочия избирательных комиссий разных уровней в области использования, эксплуатации и развития ГАС «Выборы»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согласно утвержденному графику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члены УИК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Крамской В.И.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2.14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Юридическая сила и достоверность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документов, подготовленных с использованием ГАС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«Выборы»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согласно утвержденному графику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члены УИК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Крамской В.И.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2.15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Состав информационных ресурсов ГАС «Выборы»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согласно утвержденному графику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члены УИК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Крамской В.И.</w:t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2.16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Доступ к информационным ресурсам ГАС «Выборы»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согласно утвержденному графику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члены УИК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Крамской В.И.</w:t>
            </w:r>
            <w:r/>
          </w:p>
        </w:tc>
      </w:tr>
      <w:tr>
        <w:trPr/>
        <w:tc>
          <w:tcPr>
            <w:gridSpan w:val="7"/>
            <w:tcW w:w="15239" w:type="dxa"/>
            <w:textDirection w:val="lrTb"/>
            <w:noWrap w:val="false"/>
          </w:tcPr>
          <w:p>
            <w:pPr>
              <w:pStyle w:val="67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3. Учебно-тематический план обучения актива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jc w:val="center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Грайворонских местных отделений политических партий, общественных организаций (объединений)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3.1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Условия формирования избирательных комиссий муниципальных образований, участковых избирательных комиссий: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-органы, осуществляющие формирование избирательных комиссий;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-субъекты права внесения предложений по составу избирательных комиссий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малый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зал заседаний  администрации Грайворонского городского округа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Представители местных отделений политических партий, общественных организаций  (объединений)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3.2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Возложение полномочий избирательных комиссий муниципальных образований, окружных избирательных комиссий, территориальных избирательных комиссий на иные избирательные комиссии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малый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зал заседаний  администрации Грайворонского городского округа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Представители местных отделений политических партий, общественных организаций  (объединений)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3.3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Порядок внесения предложений о кандидатурах в состав избирательных комиссий политической партией, иным общественным объединением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малый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зал заседаний  администрации Грайворонского городского округа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Представители местных отделений политических партий, общественных организаций  (объединений)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3.4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Порядок участия в формировании избирательных комиссий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избирательны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ми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объединени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ями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списки кандидатов которые допущены к распределению депутатских мандатов в Государственной Думе Федерального Собрания Российской Федерации, законодательном (предст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авительном) органе государственной власти субъекта Российской Федерации, представительном органе муниципального образования, а также выдвинувших списки кандидатов, которым переданы депутатские мандаты в соответствии с законодательством Российской Федерации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малый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зал заседаний  администрации Грайворонского городского округа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Представители местных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отделений политических партий, общественных организаций  (объединений)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По отдельному </w:t>
            </w: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3.5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Порядок формирования участковых избирательных комиссий: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-численный состав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-сроки полномочий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малый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зал заседаний  администрации Грайворонского городского округа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Представители местных отделений политических партий, общественных организаций  (объединений)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3.6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 формах документов, используемых при подготовке и рассмотрении вопросов о формировании избирательных комиссий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малый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зал заседаний  администрации Грайворонского городского округа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Представители местных отделений политических партий, общественных организаций 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(объединений)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3.7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Порядок назначения члена избирательной комиссии с правом решающего голоса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вместо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выбывшего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малый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зал заседаний  администрации Грайворонского городского округа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Представители местных отделений политических партий, общественных организаций  (объединений)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3.8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 приостановлении полномочий члена избирательной комиссии с правом решающего голоса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Представители местных отделений политических партий, общественных организаций  (объединений)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3.9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Формирование резерва составов участковых комиссий: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 основания и порядок дополнительного зачисления в резерв составов участковых комиссий;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-срок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и(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периоды) сбора предложений для дополнительного зачисления в резерв составов участковых комиссий;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-порядок  представления предложений для дополнительного зачисления в резерв составов участковых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комиссий;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-случаи и порядок исключения лиц, состоящих в   резерве составов участковых комиссий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Представители местных отделений политических партий, общественных организаций  (объединений)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3.10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614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Назначение нового члена участковой комиссии из резерва составов участковых комиссий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Представители местных отделений политических партий, общественных организаций  (объединений)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3.11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ГАС «Выборы», статус и назначение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Представители местных отделений политических партий, общественных организаций  (объединений)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Крамской В.И.</w:t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3.12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Полномочия избирательных комиссий разных уровней в области использования, эксплуатации и развития ГАС «Выборы»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Представители местных отделений политических партий, общественных организаций  (объединений)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Крамской В.И.</w:t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3.13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Юридическая сила и достоверность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документов, подготовленных с использованием  ГАС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«Выборы»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Представители местных отделений политических партий, общественных организаций  (объединений)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Крамской В.И.</w:t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3.14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Состав информационных ресурсов ГАС «Выборы»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Представители местных отделений политических партий, общественных организаций  (объединений)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Крамской В.И.</w:t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3.15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Доступ к информационным ресурсам ГАС  «Выборы»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Представители местных отделений политических партий, общественных организаций  (объединений)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Крамской В.И.</w:t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3.16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60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Избирательные объединения как субъекты выдвижения кандидатов, списков кандидатов на выборах в органы местного самоуправления: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0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 политические партии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60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 общественные объединени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я(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организации)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Представители местных отделений политических партий,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общественных организаций  (объединений)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3.17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60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Cs/>
                <w:sz w:val="28"/>
              </w:rPr>
              <w:t xml:space="preserve">Избирательный процесс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на выборах в органы местного самоуправления: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459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bCs/>
                <w:sz w:val="28"/>
              </w:rPr>
              <w:t xml:space="preserve"> выдвижение кандидатов в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депутаты Совета депутатов Грайворонского городского округа </w:t>
            </w:r>
            <w:r>
              <w:rPr>
                <w:rFonts w:ascii="PT Astra Serif" w:hAnsi="PT Astra Serif" w:cs="PT Astra Serif" w:eastAsia="PT Astra Serif"/>
                <w:bCs/>
                <w:sz w:val="28"/>
              </w:rPr>
              <w:t xml:space="preserve">политическими партиями;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459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-регистрации кандидата </w:t>
            </w:r>
            <w:r>
              <w:rPr>
                <w:rFonts w:ascii="PT Astra Serif" w:hAnsi="PT Astra Serif" w:cs="PT Astra Serif" w:eastAsia="PT Astra Serif"/>
                <w:bCs/>
                <w:sz w:val="28"/>
              </w:rPr>
              <w:t xml:space="preserve">в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депутаты Совета депутатов Грайворонского городского округа. Основания для аннулирования, отмены решения избирательной комиссии Грайворонского городского округа о регистрации кандидата. Выбытие кандидатов, отзыв кандидатов политическими партиями;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863"/>
              <w:ind w:firstLine="567"/>
              <w:jc w:val="both"/>
              <w:rPr>
                <w:rFonts w:ascii="PT Astra Serif" w:hAnsi="PT Astra Serif" w:cs="PT Astra Serif" w:eastAsia="PT Astra Serif"/>
                <w:sz w:val="28"/>
              </w:rPr>
              <w:outlineLvl w:val="0"/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-ограничения, связанные с должностным или со служебным положением кандидата;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459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-доверенные лица кандидатов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Представители местных отделений политических партий, общественных организаций  (объединений)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3.18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567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Финансирование избирательной кампании. Формирование и расходование средств избирательных фондов, отчетность по средствам избирательных фондов.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567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Уполномоченные представители по финансовым вопросам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Представители местных отделений политических партий, общественных организаций  (объединений)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3.19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56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Информационное обеспечение выборов, предвыборная агитация: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567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-предвыборная агитация, условия проведения агитации в средствах массовой информации;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567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-проведение предвыборной агитации посредством публичных мероприятий, выпуска и распространения печатных, аудиовизуальных и иных агитационных материалов. Ограничения при проведении предвыборной агитации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56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-порядок предоставления помещений, пригодных для проведения агитационных публичных мероприятий зарегистрированным кандидатам, политическим партиям, их доверенным лицам с избирателями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Представители местных отделений политических партий, общественных организаций  (объединений)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3.20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56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Наблюдение за голосованием.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567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Права и обязанности членов комиссий с правом совещательного голоса, наблюдателей, право на получение копий протоколов об итогах голосования. Обеспечение гарантий законности, объективности и честности выборов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Представители местных отделений политических партий, общественных организаций  (объединений)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767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3.21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138" w:type="dxa"/>
            <w:textDirection w:val="lrTb"/>
            <w:noWrap w:val="false"/>
          </w:tcPr>
          <w:p>
            <w:pPr>
              <w:pStyle w:val="677"/>
              <w:ind w:firstLine="56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Установление итогов голосования и результатов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выборов депутатов Совета депутатов Грайворонского городского округа второго созыва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;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ind w:firstLine="567"/>
              <w:jc w:val="both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регистрация избранных депутатов Совета депутатов Грайворонского городского округа второго созыва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677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Очная,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Белгородская область, г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. Грайворон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ул. Комсомольская, д. 21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Представители местных отделений политических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партий, общественных организаций  (объединений)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Тестирование (опрос)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113" w:type="dxa"/>
            <w:textDirection w:val="lrTb"/>
            <w:noWrap w:val="false"/>
          </w:tcPr>
          <w:p>
            <w:pPr>
              <w:pStyle w:val="677"/>
              <w:rPr>
                <w:rFonts w:ascii="PT Astra Serif" w:hAnsi="PT Astra Serif" w:cs="PT Astra Serif" w:eastAsia="PT Astra Serif"/>
                <w:sz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Краснокутский С.В.,</w:t>
            </w:r>
            <w:r/>
          </w:p>
          <w:p>
            <w:pPr>
              <w:pStyle w:val="677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  <w:highlight w:val="none"/>
              </w:rPr>
            </w:r>
            <w:r/>
          </w:p>
        </w:tc>
      </w:tr>
    </w:tbl>
    <w:p>
      <w:pPr>
        <w:tabs>
          <w:tab w:val="left" w:pos="2225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4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52"/>
        <w:ind w:left="0"/>
        <w:jc w:val="left"/>
        <w:spacing w:lineRule="auto" w:line="24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1276" w:right="851" w:bottom="850" w:left="822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panose1 w:val="02000603000000000000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pStyle w:val="835"/>
      <w:isLgl w:val="false"/>
      <w:suff w:val="tab"/>
      <w:lvlText w:val="%1."/>
      <w:lvlJc w:val="left"/>
      <w:pPr>
        <w:ind w:left="1429" w:hanging="720"/>
        <w:tabs>
          <w:tab w:val="num" w:pos="1429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  <w:tabs>
          <w:tab w:val="num" w:pos="1931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  <w:tabs>
          <w:tab w:val="num" w:pos="2651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  <w:tabs>
          <w:tab w:val="num" w:pos="3371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  <w:tabs>
          <w:tab w:val="num" w:pos="4091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  <w:tabs>
          <w:tab w:val="num" w:pos="4811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  <w:tabs>
          <w:tab w:val="num" w:pos="5531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  <w:tabs>
          <w:tab w:val="num" w:pos="6251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  <w:tabs>
          <w:tab w:val="num" w:pos="6971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04" w:hanging="720"/>
      </w:pPr>
      <w:rPr>
        <w:rFonts w:cs="Times New Roman" w:hint="default"/>
        <w:b w:val="false"/>
        <w:bCs/>
        <w:strike w:val="false"/>
        <w:color w:val="auto"/>
        <w:sz w:val="28"/>
        <w:szCs w:val="28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cs="Times New Roman" w:hint="default"/>
        <w:b w:val="false"/>
        <w:bCs/>
        <w:strike w:val="false"/>
        <w:color w:val="auto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suff w:val="tab"/>
      <w:lvlText w:val="%1.%2.%3.%4.%5.%6.%7."/>
      <w:lvlJc w:val="left"/>
      <w:pPr>
        <w:ind w:left="425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12" w:hanging="2160"/>
      </w:pPr>
      <w:rPr>
        <w:rFonts w:cs="Times New Roman" w:hint="default"/>
        <w:color w:val="auto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suff w:val="tab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0">
    <w:name w:val="Heading 1 Char"/>
    <w:basedOn w:val="837"/>
    <w:link w:val="835"/>
    <w:uiPriority w:val="9"/>
    <w:rPr>
      <w:rFonts w:ascii="Arial" w:hAnsi="Arial" w:cs="Arial" w:eastAsia="Arial"/>
      <w:sz w:val="40"/>
      <w:szCs w:val="40"/>
    </w:rPr>
  </w:style>
  <w:style w:type="paragraph" w:styleId="661">
    <w:name w:val="Heading 2"/>
    <w:basedOn w:val="834"/>
    <w:next w:val="834"/>
    <w:link w:val="6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2">
    <w:name w:val="Heading 2 Char"/>
    <w:basedOn w:val="837"/>
    <w:link w:val="661"/>
    <w:uiPriority w:val="9"/>
    <w:rPr>
      <w:rFonts w:ascii="Arial" w:hAnsi="Arial" w:cs="Arial" w:eastAsia="Arial"/>
      <w:sz w:val="34"/>
    </w:rPr>
  </w:style>
  <w:style w:type="paragraph" w:styleId="663">
    <w:name w:val="Heading 3"/>
    <w:basedOn w:val="834"/>
    <w:next w:val="834"/>
    <w:link w:val="66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4">
    <w:name w:val="Heading 3 Char"/>
    <w:basedOn w:val="837"/>
    <w:link w:val="663"/>
    <w:uiPriority w:val="9"/>
    <w:rPr>
      <w:rFonts w:ascii="Arial" w:hAnsi="Arial" w:cs="Arial" w:eastAsia="Arial"/>
      <w:sz w:val="30"/>
      <w:szCs w:val="30"/>
    </w:rPr>
  </w:style>
  <w:style w:type="character" w:styleId="665">
    <w:name w:val="Heading 4 Char"/>
    <w:basedOn w:val="837"/>
    <w:link w:val="836"/>
    <w:uiPriority w:val="9"/>
    <w:rPr>
      <w:rFonts w:ascii="Arial" w:hAnsi="Arial" w:cs="Arial" w:eastAsia="Arial"/>
      <w:b/>
      <w:bCs/>
      <w:sz w:val="26"/>
      <w:szCs w:val="26"/>
    </w:rPr>
  </w:style>
  <w:style w:type="paragraph" w:styleId="666">
    <w:name w:val="Heading 5"/>
    <w:basedOn w:val="834"/>
    <w:next w:val="834"/>
    <w:link w:val="6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7">
    <w:name w:val="Heading 5 Char"/>
    <w:basedOn w:val="837"/>
    <w:link w:val="666"/>
    <w:uiPriority w:val="9"/>
    <w:rPr>
      <w:rFonts w:ascii="Arial" w:hAnsi="Arial" w:cs="Arial" w:eastAsia="Arial"/>
      <w:b/>
      <w:bCs/>
      <w:sz w:val="24"/>
      <w:szCs w:val="24"/>
    </w:rPr>
  </w:style>
  <w:style w:type="paragraph" w:styleId="668">
    <w:name w:val="Heading 6"/>
    <w:basedOn w:val="834"/>
    <w:next w:val="834"/>
    <w:link w:val="66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9">
    <w:name w:val="Heading 6 Char"/>
    <w:basedOn w:val="837"/>
    <w:link w:val="668"/>
    <w:uiPriority w:val="9"/>
    <w:rPr>
      <w:rFonts w:ascii="Arial" w:hAnsi="Arial" w:cs="Arial" w:eastAsia="Arial"/>
      <w:b/>
      <w:bCs/>
      <w:sz w:val="22"/>
      <w:szCs w:val="22"/>
    </w:rPr>
  </w:style>
  <w:style w:type="paragraph" w:styleId="670">
    <w:name w:val="Heading 7"/>
    <w:basedOn w:val="834"/>
    <w:next w:val="834"/>
    <w:link w:val="67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1">
    <w:name w:val="Heading 7 Char"/>
    <w:basedOn w:val="837"/>
    <w:link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2">
    <w:name w:val="Heading 8"/>
    <w:basedOn w:val="834"/>
    <w:next w:val="834"/>
    <w:link w:val="67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3">
    <w:name w:val="Heading 8 Char"/>
    <w:basedOn w:val="837"/>
    <w:link w:val="672"/>
    <w:uiPriority w:val="9"/>
    <w:rPr>
      <w:rFonts w:ascii="Arial" w:hAnsi="Arial" w:cs="Arial" w:eastAsia="Arial"/>
      <w:i/>
      <w:iCs/>
      <w:sz w:val="22"/>
      <w:szCs w:val="22"/>
    </w:rPr>
  </w:style>
  <w:style w:type="paragraph" w:styleId="674">
    <w:name w:val="Heading 9"/>
    <w:basedOn w:val="834"/>
    <w:next w:val="834"/>
    <w:link w:val="6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5">
    <w:name w:val="Heading 9 Char"/>
    <w:basedOn w:val="837"/>
    <w:link w:val="674"/>
    <w:uiPriority w:val="9"/>
    <w:rPr>
      <w:rFonts w:ascii="Arial" w:hAnsi="Arial" w:cs="Arial" w:eastAsia="Arial"/>
      <w:i/>
      <w:iCs/>
      <w:sz w:val="21"/>
      <w:szCs w:val="21"/>
    </w:rPr>
  </w:style>
  <w:style w:type="paragraph" w:styleId="676">
    <w:name w:val="List Paragraph"/>
    <w:basedOn w:val="834"/>
    <w:qFormat/>
    <w:uiPriority w:val="34"/>
    <w:pPr>
      <w:contextualSpacing w:val="true"/>
      <w:ind w:left="720"/>
    </w:pPr>
  </w:style>
  <w:style w:type="paragraph" w:styleId="677">
    <w:name w:val="No Spacing"/>
    <w:qFormat/>
    <w:uiPriority w:val="1"/>
    <w:pPr>
      <w:spacing w:lineRule="auto" w:line="240" w:after="0" w:before="0"/>
    </w:pPr>
  </w:style>
  <w:style w:type="character" w:styleId="678">
    <w:name w:val="Title Char"/>
    <w:basedOn w:val="837"/>
    <w:link w:val="852"/>
    <w:uiPriority w:val="10"/>
    <w:rPr>
      <w:sz w:val="48"/>
      <w:szCs w:val="48"/>
    </w:rPr>
  </w:style>
  <w:style w:type="paragraph" w:styleId="679">
    <w:name w:val="Subtitle"/>
    <w:basedOn w:val="834"/>
    <w:next w:val="834"/>
    <w:link w:val="680"/>
    <w:qFormat/>
    <w:uiPriority w:val="11"/>
    <w:rPr>
      <w:sz w:val="24"/>
      <w:szCs w:val="24"/>
    </w:rPr>
    <w:pPr>
      <w:spacing w:after="200" w:before="200"/>
    </w:pPr>
  </w:style>
  <w:style w:type="character" w:styleId="680">
    <w:name w:val="Subtitle Char"/>
    <w:basedOn w:val="837"/>
    <w:link w:val="679"/>
    <w:uiPriority w:val="11"/>
    <w:rPr>
      <w:sz w:val="24"/>
      <w:szCs w:val="24"/>
    </w:rPr>
  </w:style>
  <w:style w:type="paragraph" w:styleId="681">
    <w:name w:val="Quote"/>
    <w:basedOn w:val="834"/>
    <w:next w:val="834"/>
    <w:link w:val="682"/>
    <w:qFormat/>
    <w:uiPriority w:val="29"/>
    <w:rPr>
      <w:i/>
    </w:rPr>
    <w:pPr>
      <w:ind w:left="720" w:right="720"/>
    </w:p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4"/>
    <w:next w:val="834"/>
    <w:link w:val="68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4">
    <w:name w:val="Intense Quote Char"/>
    <w:link w:val="683"/>
    <w:uiPriority w:val="30"/>
    <w:rPr>
      <w:i/>
    </w:rPr>
  </w:style>
  <w:style w:type="character" w:styleId="685">
    <w:name w:val="Header Char"/>
    <w:basedOn w:val="837"/>
    <w:link w:val="848"/>
    <w:uiPriority w:val="99"/>
  </w:style>
  <w:style w:type="paragraph" w:styleId="686">
    <w:name w:val="Footer"/>
    <w:basedOn w:val="834"/>
    <w:link w:val="6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7">
    <w:name w:val="Footer Char"/>
    <w:basedOn w:val="837"/>
    <w:link w:val="686"/>
    <w:uiPriority w:val="99"/>
  </w:style>
  <w:style w:type="paragraph" w:styleId="688">
    <w:name w:val="Caption"/>
    <w:basedOn w:val="834"/>
    <w:next w:val="83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9">
    <w:name w:val="Caption Char"/>
    <w:basedOn w:val="688"/>
    <w:link w:val="686"/>
    <w:uiPriority w:val="99"/>
  </w:style>
  <w:style w:type="table" w:styleId="690">
    <w:name w:val="Table Grid"/>
    <w:basedOn w:val="83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Table Grid Light"/>
    <w:basedOn w:val="8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6">
    <w:name w:val="Lined - Accent 1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7">
    <w:name w:val="Lined - Accent 2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8">
    <w:name w:val="Lined - Accent 3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9">
    <w:name w:val="Lined - Accent 4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00">
    <w:name w:val="Lined - Accent 5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01">
    <w:name w:val="Lined - Accent 6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02">
    <w:name w:val="Bordered &amp; Lined - Accent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03">
    <w:name w:val="Bordered &amp; Lined - Accent 1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04">
    <w:name w:val="Bordered &amp; Lined - Accent 2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05">
    <w:name w:val="Bordered &amp; Lined - Accent 3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06">
    <w:name w:val="Bordered &amp; Lined - Accent 4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07">
    <w:name w:val="Bordered &amp; Lined - Accent 5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08">
    <w:name w:val="Bordered &amp; Lined - Accent 6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09">
    <w:name w:val="Bordered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0">
    <w:name w:val="Bordered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1">
    <w:name w:val="Bordered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2">
    <w:name w:val="Bordered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3">
    <w:name w:val="Bordered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4">
    <w:name w:val="Bordered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5">
    <w:name w:val="Bordered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rPr>
      <w:sz w:val="18"/>
    </w:rPr>
    <w:pPr>
      <w:spacing w:lineRule="auto" w:line="240" w:after="40"/>
    </w:p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7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rPr>
      <w:sz w:val="20"/>
    </w:rPr>
    <w:pPr>
      <w:spacing w:lineRule="auto" w:line="240" w:after="0"/>
    </w:p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7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</w:style>
  <w:style w:type="paragraph" w:styleId="835">
    <w:name w:val="Heading 1"/>
    <w:basedOn w:val="834"/>
    <w:next w:val="834"/>
    <w:link w:val="840"/>
    <w:qFormat/>
    <w:uiPriority w:val="9"/>
    <w:rPr>
      <w:rFonts w:ascii="Times New Roman" w:hAnsi="Times New Roman" w:cs="Times New Roman" w:eastAsia="Times New Roman"/>
      <w:sz w:val="28"/>
      <w:szCs w:val="24"/>
    </w:rPr>
    <w:pPr>
      <w:numPr>
        <w:numId w:val="1"/>
      </w:numPr>
      <w:ind w:left="0" w:firstLine="0"/>
      <w:jc w:val="center"/>
      <w:keepNext/>
      <w:spacing w:lineRule="auto" w:line="240" w:after="0"/>
      <w:tabs>
        <w:tab w:val="num" w:pos="0" w:leader="none"/>
      </w:tabs>
      <w:outlineLvl w:val="0"/>
    </w:pPr>
  </w:style>
  <w:style w:type="paragraph" w:styleId="836">
    <w:name w:val="Heading 4"/>
    <w:basedOn w:val="834"/>
    <w:next w:val="834"/>
    <w:link w:val="841"/>
    <w:qFormat/>
    <w:uiPriority w:val="9"/>
    <w:rPr>
      <w:rFonts w:ascii="Times New Roman" w:hAnsi="Times New Roman" w:cs="Times New Roman" w:eastAsia="Times New Roman"/>
      <w:b/>
      <w:bCs/>
      <w:sz w:val="28"/>
      <w:szCs w:val="24"/>
    </w:rPr>
    <w:pPr>
      <w:jc w:val="center"/>
      <w:keepNext/>
      <w:spacing w:lineRule="auto" w:line="240" w:after="0"/>
      <w:outlineLvl w:val="3"/>
    </w:pPr>
  </w:style>
  <w:style w:type="character" w:styleId="837" w:default="1">
    <w:name w:val="Default Paragraph Font"/>
    <w:uiPriority w:val="1"/>
    <w:semiHidden/>
    <w:unhideWhenUsed/>
  </w:style>
  <w:style w:type="table" w:styleId="83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character" w:styleId="840" w:customStyle="1">
    <w:name w:val="Заголовок 1 Знак"/>
    <w:basedOn w:val="837"/>
    <w:link w:val="835"/>
    <w:uiPriority w:val="9"/>
    <w:rPr>
      <w:rFonts w:ascii="Times New Roman" w:hAnsi="Times New Roman" w:cs="Times New Roman" w:eastAsia="Times New Roman"/>
      <w:sz w:val="28"/>
      <w:szCs w:val="24"/>
    </w:rPr>
  </w:style>
  <w:style w:type="character" w:styleId="841" w:customStyle="1">
    <w:name w:val="Заголовок 4 Знак"/>
    <w:basedOn w:val="837"/>
    <w:link w:val="836"/>
    <w:uiPriority w:val="9"/>
    <w:rPr>
      <w:rFonts w:ascii="Times New Roman" w:hAnsi="Times New Roman" w:cs="Times New Roman" w:eastAsia="Times New Roman"/>
      <w:b/>
      <w:bCs/>
      <w:sz w:val="28"/>
      <w:szCs w:val="24"/>
    </w:rPr>
  </w:style>
  <w:style w:type="paragraph" w:styleId="842">
    <w:name w:val="Body Text Indent"/>
    <w:basedOn w:val="834"/>
    <w:link w:val="843"/>
    <w:semiHidden/>
    <w:rPr>
      <w:rFonts w:ascii="Times New Roman" w:hAnsi="Times New Roman" w:cs="Times New Roman" w:eastAsia="Times New Roman"/>
      <w:sz w:val="24"/>
      <w:szCs w:val="24"/>
    </w:rPr>
    <w:pPr>
      <w:ind w:left="5940"/>
      <w:jc w:val="center"/>
      <w:spacing w:lineRule="auto" w:line="240" w:after="0"/>
    </w:pPr>
  </w:style>
  <w:style w:type="character" w:styleId="843" w:customStyle="1">
    <w:name w:val="Основной текст с отступом Знак"/>
    <w:basedOn w:val="837"/>
    <w:link w:val="842"/>
    <w:uiPriority w:val="99"/>
    <w:semiHidden/>
    <w:rPr>
      <w:rFonts w:ascii="Times New Roman" w:hAnsi="Times New Roman" w:cs="Times New Roman" w:eastAsia="Times New Roman"/>
      <w:sz w:val="24"/>
      <w:szCs w:val="24"/>
    </w:rPr>
  </w:style>
  <w:style w:type="paragraph" w:styleId="844">
    <w:name w:val="Body Text Indent 3"/>
    <w:basedOn w:val="834"/>
    <w:link w:val="845"/>
    <w:semiHidden/>
    <w:rPr>
      <w:rFonts w:ascii="Times New Roman" w:hAnsi="Times New Roman" w:cs="Times New Roman" w:eastAsia="Times New Roman"/>
      <w:sz w:val="28"/>
      <w:szCs w:val="24"/>
    </w:rPr>
    <w:pPr>
      <w:ind w:firstLine="720"/>
      <w:jc w:val="both"/>
      <w:spacing w:lineRule="auto" w:line="240" w:after="0"/>
    </w:pPr>
  </w:style>
  <w:style w:type="character" w:styleId="845" w:customStyle="1">
    <w:name w:val="Основной текст с отступом 3 Знак"/>
    <w:basedOn w:val="837"/>
    <w:link w:val="844"/>
    <w:uiPriority w:val="99"/>
    <w:semiHidden/>
    <w:rPr>
      <w:rFonts w:ascii="Times New Roman" w:hAnsi="Times New Roman" w:cs="Times New Roman" w:eastAsia="Times New Roman"/>
      <w:sz w:val="28"/>
      <w:szCs w:val="24"/>
    </w:rPr>
  </w:style>
  <w:style w:type="paragraph" w:styleId="846">
    <w:name w:val="Body Text"/>
    <w:basedOn w:val="834"/>
    <w:link w:val="847"/>
    <w:uiPriority w:val="99"/>
    <w:semiHidden/>
    <w:rPr>
      <w:rFonts w:ascii="Times New Roman" w:hAnsi="Times New Roman" w:cs="Times New Roman" w:eastAsia="Times New Roman"/>
      <w:b/>
      <w:bCs/>
      <w:sz w:val="28"/>
      <w:szCs w:val="24"/>
    </w:rPr>
    <w:pPr>
      <w:jc w:val="center"/>
      <w:spacing w:lineRule="auto" w:line="240" w:after="0"/>
    </w:pPr>
  </w:style>
  <w:style w:type="character" w:styleId="847" w:customStyle="1">
    <w:name w:val="Основной текст Знак"/>
    <w:basedOn w:val="837"/>
    <w:link w:val="846"/>
    <w:uiPriority w:val="99"/>
    <w:semiHidden/>
    <w:rPr>
      <w:rFonts w:ascii="Times New Roman" w:hAnsi="Times New Roman" w:cs="Times New Roman" w:eastAsia="Times New Roman"/>
      <w:b/>
      <w:bCs/>
      <w:sz w:val="28"/>
      <w:szCs w:val="24"/>
    </w:rPr>
  </w:style>
  <w:style w:type="paragraph" w:styleId="848">
    <w:name w:val="Header"/>
    <w:basedOn w:val="834"/>
    <w:link w:val="849"/>
    <w:uiPriority w:val="99"/>
    <w:rPr>
      <w:rFonts w:ascii="Times New Roman" w:hAnsi="Times New Roman" w:cs="Times New Roman" w:eastAsia="Times New Roman"/>
      <w:sz w:val="24"/>
      <w:szCs w:val="24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9" w:customStyle="1">
    <w:name w:val="Верхний колонтитул Знак"/>
    <w:basedOn w:val="837"/>
    <w:link w:val="848"/>
    <w:uiPriority w:val="99"/>
    <w:rPr>
      <w:rFonts w:ascii="Times New Roman" w:hAnsi="Times New Roman" w:cs="Times New Roman" w:eastAsia="Times New Roman"/>
      <w:sz w:val="24"/>
      <w:szCs w:val="24"/>
    </w:rPr>
  </w:style>
  <w:style w:type="paragraph" w:styleId="850" w:customStyle="1">
    <w:name w:val="14-15"/>
    <w:basedOn w:val="842"/>
    <w:rPr>
      <w:bCs/>
      <w:sz w:val="28"/>
    </w:rPr>
    <w:pPr>
      <w:ind w:left="0" w:firstLine="709"/>
      <w:jc w:val="both"/>
      <w:spacing w:lineRule="auto" w:line="360"/>
    </w:pPr>
  </w:style>
  <w:style w:type="paragraph" w:styleId="851" w:customStyle="1">
    <w:name w:val="Загл.14"/>
    <w:basedOn w:val="834"/>
    <w:rPr>
      <w:rFonts w:ascii="Times New Roman" w:hAnsi="Times New Roman" w:cs="Times New Roman" w:eastAsia="Times New Roman"/>
      <w:b/>
      <w:sz w:val="28"/>
      <w:szCs w:val="20"/>
    </w:rPr>
    <w:pPr>
      <w:jc w:val="center"/>
      <w:spacing w:lineRule="auto" w:line="240" w:after="0"/>
    </w:pPr>
  </w:style>
  <w:style w:type="paragraph" w:styleId="852">
    <w:name w:val="Title"/>
    <w:basedOn w:val="834"/>
    <w:link w:val="853"/>
    <w:qFormat/>
    <w:uiPriority w:val="99"/>
    <w:rPr>
      <w:rFonts w:ascii="Times New Roman" w:hAnsi="Times New Roman" w:cs="Times New Roman" w:eastAsia="Times New Roman"/>
      <w:sz w:val="28"/>
      <w:szCs w:val="24"/>
    </w:rPr>
    <w:pPr>
      <w:jc w:val="center"/>
      <w:spacing w:lineRule="auto" w:line="240" w:after="0"/>
    </w:pPr>
  </w:style>
  <w:style w:type="character" w:styleId="853" w:customStyle="1">
    <w:name w:val="Название Знак"/>
    <w:basedOn w:val="837"/>
    <w:link w:val="852"/>
    <w:uiPriority w:val="99"/>
    <w:rPr>
      <w:rFonts w:ascii="Times New Roman" w:hAnsi="Times New Roman" w:cs="Times New Roman" w:eastAsia="Times New Roman"/>
      <w:sz w:val="28"/>
      <w:szCs w:val="24"/>
    </w:rPr>
  </w:style>
  <w:style w:type="paragraph" w:styleId="854" w:customStyle="1">
    <w:name w:val="Текст14-1"/>
    <w:basedOn w:val="834"/>
    <w:uiPriority w:val="99"/>
    <w:rPr>
      <w:rFonts w:ascii="Times New Roman" w:hAnsi="Times New Roman" w:cs="Times New Roman" w:eastAsia="Times New Roman"/>
      <w:sz w:val="28"/>
      <w:szCs w:val="28"/>
    </w:rPr>
    <w:pPr>
      <w:ind w:firstLine="709"/>
      <w:jc w:val="both"/>
      <w:spacing w:lineRule="auto" w:line="360" w:after="0"/>
    </w:pPr>
  </w:style>
  <w:style w:type="paragraph" w:styleId="855" w:customStyle="1">
    <w:name w:val="ConsNormal"/>
    <w:rPr>
      <w:rFonts w:ascii="Arial" w:hAnsi="Arial" w:cs="Times New Roman" w:eastAsia="Times New Roman"/>
      <w:sz w:val="20"/>
      <w:szCs w:val="20"/>
    </w:rPr>
    <w:pPr>
      <w:ind w:firstLine="720"/>
      <w:spacing w:lineRule="auto" w:line="240" w:after="0"/>
      <w:widowControl w:val="off"/>
    </w:pPr>
  </w:style>
  <w:style w:type="paragraph" w:styleId="856" w:customStyle="1">
    <w:name w:val="Body Text 21"/>
    <w:basedOn w:val="834"/>
    <w:rPr>
      <w:rFonts w:ascii="Times New Roman" w:hAnsi="Times New Roman" w:cs="Times New Roman" w:eastAsia="Times New Roman"/>
      <w:sz w:val="28"/>
      <w:szCs w:val="20"/>
    </w:rPr>
    <w:pPr>
      <w:jc w:val="both"/>
      <w:spacing w:lineRule="auto" w:line="240" w:after="0"/>
      <w:widowControl w:val="off"/>
    </w:pPr>
  </w:style>
  <w:style w:type="paragraph" w:styleId="857" w:customStyle="1">
    <w:name w:val="Основной текст 21"/>
    <w:basedOn w:val="834"/>
    <w:rPr>
      <w:rFonts w:ascii="Times New Roman" w:hAnsi="Times New Roman" w:cs="Times New Roman" w:eastAsia="Times New Roman"/>
      <w:sz w:val="28"/>
      <w:szCs w:val="20"/>
      <w:lang w:eastAsia="zh-CN"/>
    </w:rPr>
    <w:pPr>
      <w:jc w:val="center"/>
      <w:spacing w:lineRule="auto" w:line="240" w:after="0"/>
    </w:pPr>
  </w:style>
  <w:style w:type="paragraph" w:styleId="858">
    <w:name w:val="Body Text 3"/>
    <w:semiHidden/>
    <w:rPr>
      <w:rFonts w:ascii="TimesNewRoman" w:hAnsi="TimesNewRoman" w:cs="TimesNewRoman" w:eastAsia="TimesNew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9">
    <w:name w:val="Обычный"/>
    <w:next w:val="846"/>
    <w:link w:val="846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60">
    <w:name w:val="Текст14-1,5,текст14,Т-1,Текст 14-1,Стиль12-1"/>
    <w:basedOn w:val="7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61" w:customStyle="1">
    <w:name w:val="Т-14.5"/>
    <w:basedOn w:val="854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20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62">
    <w:name w:val="Body Text 2"/>
    <w:basedOn w:val="660"/>
    <w:link w:val="687"/>
    <w:uiPriority w:val="99"/>
    <w:unhideWhenUsed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63" w:customStyle="1">
    <w:name w:val="ConsPlusNormal"/>
    <w:rPr>
      <w:rFonts w:ascii="Arial" w:hAnsi="Arial" w:cs="Arial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revision>48</cp:revision>
  <dcterms:created xsi:type="dcterms:W3CDTF">2020-12-29T15:49:00Z</dcterms:created>
  <dcterms:modified xsi:type="dcterms:W3CDTF">2023-02-09T06:44:04Z</dcterms:modified>
</cp:coreProperties>
</file>