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22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22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22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ГРАЙВОРОНСКАЯ ТЕРРИТОРИАЛЬНАЯ ИЗБИРАТЕЛЬНАЯ КОМИССИЯ</w:t>
      </w:r>
      <w:r>
        <w:rPr>
          <w:rFonts w:ascii="ptastraserif" w:hAnsi="ptastraserif" w:cs="ptastraserif" w:eastAsia="ptastraserif"/>
          <w:lang w:val="ru-RU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pacing w:val="60"/>
          <w:sz w:val="32"/>
        </w:rPr>
        <w:t xml:space="preserve">ПОСТАНОВЛЕНИЕ</w:t>
      </w: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17 марта 2023 года</w:t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№ 14/47-1</w:t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</w:tr>
    </w:tbl>
    <w:p>
      <w:pPr>
        <w:pStyle w:val="81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9"/>
        <w:ind w:firstLine="0"/>
        <w:tabs>
          <w:tab w:val="left" w:pos="4820" w:leader="none"/>
        </w:tabs>
        <w:rPr>
          <w:rFonts w:ascii="PT Astra Serif" w:hAnsi="PT Astra Serif" w:cs="PT Astra Serif" w:eastAsia="PT Astra Serif"/>
          <w:b/>
        </w:rPr>
      </w:pPr>
      <w:r>
        <w:rPr>
          <w:rFonts w:ascii="ptastraserif" w:hAnsi="ptastraserif" w:cs="ptastraserif" w:eastAsia="ptastraserif"/>
          <w:b/>
          <w:lang w:val="ru-RU"/>
        </w:rPr>
      </w:r>
      <w:r>
        <w:rPr>
          <w:rFonts w:ascii="PT Astra Serif" w:hAnsi="PT Astra Serif" w:cs="PT Astra Serif" w:eastAsia="PT Astra Serif"/>
          <w:b/>
        </w:rPr>
        <w:t xml:space="preserve">О медиа-плане Грайворонской</w:t>
      </w:r>
      <w:r/>
    </w:p>
    <w:p>
      <w:pPr>
        <w:pStyle w:val="819"/>
        <w:ind w:firstLine="0"/>
        <w:tabs>
          <w:tab w:val="left" w:pos="4820" w:leader="none"/>
        </w:tabs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</w:rPr>
        <w:t xml:space="preserve">территориальной избирательной</w:t>
      </w:r>
      <w:r/>
    </w:p>
    <w:p>
      <w:pPr>
        <w:pStyle w:val="819"/>
        <w:ind w:firstLine="0"/>
        <w:tabs>
          <w:tab w:val="left" w:pos="4820" w:leader="none"/>
        </w:tabs>
        <w:rPr>
          <w:rFonts w:ascii="PT Astra Serif" w:hAnsi="PT Astra Serif" w:cs="PT Astra Serif" w:eastAsia="PT Astra Serif"/>
          <w:b/>
          <w:highlight w:val="none"/>
        </w:rPr>
      </w:pPr>
      <w:r>
        <w:rPr>
          <w:rFonts w:ascii="PT Astra Serif" w:hAnsi="PT Astra Serif" w:cs="PT Astra Serif" w:eastAsia="PT Astra Serif"/>
          <w:b/>
        </w:rPr>
        <w:t xml:space="preserve">комиссии на 2023 год</w:t>
      </w:r>
      <w:r>
        <w:rPr>
          <w:rFonts w:ascii="ptastraserif" w:hAnsi="ptastraserif" w:cs="ptastraserif" w:eastAsia="ptastraserif"/>
        </w:rPr>
      </w:r>
      <w:r/>
    </w:p>
    <w:p>
      <w:pPr>
        <w:pStyle w:val="819"/>
        <w:ind w:firstLine="0"/>
        <w:tabs>
          <w:tab w:val="left" w:pos="4820" w:leader="none"/>
        </w:tabs>
        <w:rPr>
          <w:rFonts w:ascii="ptastraserif" w:hAnsi="ptastraserif" w:cs="ptastraserif" w:eastAsia="ptastraserif"/>
          <w:lang w:val="ru-RU"/>
        </w:rPr>
      </w:pPr>
      <w:r>
        <w:rPr>
          <w:rFonts w:ascii="PT Astra Serif" w:hAnsi="PT Astra Serif" w:cs="PT Astra Serif" w:eastAsia="PT Astra Serif"/>
          <w:b/>
          <w:highlight w:val="none"/>
        </w:rPr>
      </w:r>
      <w:r>
        <w:rPr>
          <w:rFonts w:ascii="PT Astra Serif" w:hAnsi="PT Astra Serif" w:cs="PT Astra Serif" w:eastAsia="PT Astra Serif"/>
          <w:b/>
          <w:highlight w:val="none"/>
        </w:rPr>
      </w:r>
      <w:r/>
    </w:p>
    <w:p>
      <w:pPr>
        <w:pStyle w:val="813"/>
        <w:ind w:firstLine="700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В соответствии со статьей 30 Федерального закона «Об основных гарантиях избирательных прав и права на участие в референдуме граждан Российской Федерации», статьей 34 Избирательного кодекса Белгородской области, в целях обеспечения гарантий прав граждан Рос</w:t>
      </w:r>
      <w:r>
        <w:rPr>
          <w:rFonts w:ascii="PT Astra Serif" w:hAnsi="PT Astra Serif" w:cs="PT Astra Serif" w:eastAsia="PT Astra Serif"/>
          <w:sz w:val="28"/>
        </w:rPr>
        <w:t xml:space="preserve">сийской Федерации на получение полной и достоверной информации о выборах,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z w:val="28"/>
        </w:rPr>
        <w:t xml:space="preserve">: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3"/>
        <w:ind w:firstLine="700"/>
        <w:jc w:val="both"/>
      </w:pPr>
      <w:r>
        <w:rPr>
          <w:rFonts w:ascii="PT Astra Serif" w:hAnsi="PT Astra Serif" w:cs="PT Astra Serif" w:eastAsia="PT Astra Serif"/>
          <w:sz w:val="28"/>
        </w:rPr>
        <w:t xml:space="preserve">1.Утвердить медиа-план Грайворонской территориальной избирательной комиссии на 2023 год (прилагается).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ind w:firstLine="70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2. Разместить настоящее постановление на странице Грайворонской территориальной избирательной комиссии на официальном сайте Избирательной комиссии Белгородской области в информационно - 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3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3. Контроль исполнения настоящего постановления возложить на председателя Грайворонской территориальной избирательной комиссии С.В. Краснокутского.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709"/>
        <w:jc w:val="both"/>
        <w:spacing w:lineRule="auto" w:line="240" w:after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>
        <w:rPr>
          <w:rFonts w:ascii="ptastraserif" w:hAnsi="ptastraserif" w:cs="ptastraserif" w:eastAsia="ptastraserif"/>
          <w:lang w:val="ru-RU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813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3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3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3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3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3"/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  <w:szCs w:val="24"/>
          <w:lang w:val="ru-RU" w:bidi="ru-RU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p>
      <w:pPr>
        <w:pStyle w:val="813"/>
        <w:ind w:left="4111" w:right="0" w:firstLine="0"/>
        <w:jc w:val="right"/>
        <w:spacing w:lineRule="auto" w:line="240" w:after="0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  <w:szCs w:val="24"/>
          <w:lang w:val="ru-RU" w:bidi="ru-RU"/>
        </w:rPr>
        <w:t xml:space="preserve">УТВЕРЖДЕН</w:t>
      </w:r>
      <w:r>
        <w:rPr>
          <w:rFonts w:ascii="PT Astra Serif" w:hAnsi="PT Astra Serif" w:cs="PT Astra Serif" w:eastAsia="PT Astra Serif"/>
          <w:sz w:val="20"/>
        </w:rPr>
      </w:r>
      <w:r>
        <w:rPr>
          <w:sz w:val="20"/>
        </w:rPr>
      </w:r>
    </w:p>
    <w:p>
      <w:pPr>
        <w:pStyle w:val="813"/>
        <w:ind w:left="4111" w:right="0" w:firstLine="0"/>
        <w:jc w:val="right"/>
        <w:spacing w:lineRule="auto" w:line="240" w:after="0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  <w:szCs w:val="24"/>
          <w:lang w:val="ru-RU" w:bidi="ru-RU"/>
        </w:rPr>
        <w:t xml:space="preserve">постановлением Грайворонской </w:t>
      </w:r>
      <w:r>
        <w:rPr>
          <w:rFonts w:ascii="PT Astra Serif" w:hAnsi="PT Astra Serif" w:cs="PT Astra Serif" w:eastAsia="PT Astra Serif"/>
          <w:sz w:val="20"/>
        </w:rPr>
      </w:r>
      <w:r>
        <w:rPr>
          <w:sz w:val="20"/>
        </w:rPr>
      </w:r>
    </w:p>
    <w:p>
      <w:pPr>
        <w:pStyle w:val="813"/>
        <w:ind w:left="4111" w:right="0" w:firstLine="0"/>
        <w:jc w:val="right"/>
        <w:spacing w:lineRule="auto" w:line="240" w:after="0"/>
        <w:rPr>
          <w:rFonts w:ascii="PT Astra Serif" w:hAnsi="PT Astra Serif" w:cs="PT Astra Serif" w:eastAsia="PT Astra Serif"/>
          <w:sz w:val="20"/>
          <w:szCs w:val="24"/>
        </w:rPr>
      </w:pPr>
      <w:r>
        <w:rPr>
          <w:rFonts w:ascii="PT Astra Serif" w:hAnsi="PT Astra Serif" w:cs="PT Astra Serif" w:eastAsia="PT Astra Serif"/>
          <w:sz w:val="20"/>
          <w:szCs w:val="24"/>
          <w:lang w:val="ru-RU" w:bidi="ru-RU"/>
        </w:rPr>
        <w:t xml:space="preserve">территориальной избирательной </w:t>
      </w:r>
      <w:r>
        <w:rPr>
          <w:rFonts w:ascii="PT Astra Serif" w:hAnsi="PT Astra Serif" w:cs="PT Astra Serif" w:eastAsia="PT Astra Serif"/>
          <w:sz w:val="20"/>
          <w:szCs w:val="24"/>
          <w:lang w:val="ru-RU" w:bidi="ru-RU"/>
        </w:rPr>
        <w:t xml:space="preserve">комиссии </w:t>
      </w:r>
      <w:r>
        <w:rPr>
          <w:rFonts w:ascii="PT Astra Serif" w:hAnsi="PT Astra Serif" w:cs="PT Astra Serif" w:eastAsia="PT Astra Serif"/>
          <w:sz w:val="20"/>
        </w:rPr>
      </w:r>
      <w:r>
        <w:rPr>
          <w:sz w:val="20"/>
        </w:rPr>
      </w:r>
    </w:p>
    <w:p>
      <w:pPr>
        <w:pStyle w:val="813"/>
        <w:ind w:left="4111" w:right="0" w:firstLine="0"/>
        <w:jc w:val="right"/>
        <w:spacing w:lineRule="auto" w:line="240" w:after="0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  <w:szCs w:val="24"/>
          <w:lang w:val="ru-RU" w:bidi="ru-RU"/>
        </w:rPr>
        <w:t xml:space="preserve">от 17 марта 2023 года №</w:t>
      </w:r>
      <w:r>
        <w:rPr>
          <w:rFonts w:ascii="PT Astra Serif" w:hAnsi="PT Astra Serif" w:cs="PT Astra Serif" w:eastAsia="PT Astra Serif"/>
          <w:sz w:val="20"/>
          <w:szCs w:val="24"/>
          <w:lang w:val="ru-RU" w:bidi="ru-RU"/>
        </w:rPr>
        <w:t xml:space="preserve"> 14</w:t>
      </w:r>
      <w:r>
        <w:rPr>
          <w:rFonts w:ascii="PT Astra Serif" w:hAnsi="PT Astra Serif" w:cs="PT Astra Serif" w:eastAsia="PT Astra Serif"/>
          <w:sz w:val="20"/>
          <w:szCs w:val="24"/>
          <w:lang w:val="ru-RU" w:bidi="ru-RU"/>
        </w:rPr>
        <w:t xml:space="preserve">/47-1</w:t>
      </w:r>
      <w:r>
        <w:rPr>
          <w:rFonts w:ascii="PT Astra Serif" w:hAnsi="PT Astra Serif" w:cs="PT Astra Serif" w:eastAsia="PT Astra Serif"/>
          <w:sz w:val="20"/>
        </w:rPr>
      </w:r>
      <w:r>
        <w:rPr>
          <w:sz w:val="20"/>
        </w:rPr>
      </w:r>
    </w:p>
    <w:p>
      <w:pPr>
        <w:pStyle w:val="817"/>
        <w:ind w:left="0" w:right="0" w:firstLine="0"/>
        <w:jc w:val="right"/>
        <w:spacing w:lineRule="auto" w:line="240" w:after="0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  <w:szCs w:val="28"/>
          <w:lang w:val="ru-RU" w:bidi="ru-RU"/>
        </w:rPr>
      </w:r>
      <w:r>
        <w:rPr>
          <w:rFonts w:ascii="PT Astra Serif" w:hAnsi="PT Astra Serif" w:cs="PT Astra Serif" w:eastAsia="PT Astra Serif"/>
          <w:sz w:val="20"/>
        </w:rPr>
      </w:r>
      <w:r>
        <w:rPr>
          <w:sz w:val="20"/>
        </w:rPr>
      </w:r>
    </w:p>
    <w:p>
      <w:pPr>
        <w:pStyle w:val="818"/>
        <w:ind w:left="0" w:right="0" w:firstLine="0"/>
        <w:jc w:val="righ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bookmarkStart w:id="1" w:name="Par36"/>
      <w:r>
        <w:rPr>
          <w:rFonts w:ascii="PT Astra Serif" w:hAnsi="PT Astra Serif" w:cs="PT Astra Serif" w:eastAsia="PT Astra Serif"/>
          <w:sz w:val="28"/>
        </w:rPr>
      </w:r>
      <w:bookmarkEnd w:id="1"/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  <w:t xml:space="preserve">Медиа-план Грайворонской территориальной избирательной комиссии на 2023 год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8"/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779"/>
        <w:gridCol w:w="2551"/>
        <w:gridCol w:w="1954"/>
      </w:tblGrid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Срок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Мероприятия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Вид отчетности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shd w:val="nil" w:fill="FFFFFF" w:color="FFFFFF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Источники</w:t>
            </w:r>
            <w:r>
              <w:rPr>
                <w:b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shd w:val="nil" w:fill="000000" w:color="000000"/>
              <w:rPr>
                <w:b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shd w:val="nil" w:fill="FFFFFF" w:color="FFFFFF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Сайт Облизбиркома Страница Грайворонской ТИК на сайте администрации Грайворонского городского округа Социальные сети СМИ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  <w:t xml:space="preserve">Ответственные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Примечания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Не реже 1 раза в месяц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Заседания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Анонсирование мероприятий, 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 мере наступления события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Семинары-совещания с членами избирательных комиссий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Анонсирование мероприятий, 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 мере наступления события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Заседание экспертной комиссии по определению практической значимости документов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ТИК, председатель экспертной комиссии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 мере наступления события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Заседания комиссии по обследованию имущества, переданного на ответственное хранение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ТИК, председатель комиссии по обследованию имущества, переданного на ответственное хранение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период проведения избирательной кампании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Заседания контрольно-ревизионной комиссии при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ТИК, председатель КРС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Согласно графикам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Обучающие мероприятия с организаторами выборов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 мере наступления события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Мероприятия с участием представителей местных отделений политических партий, общественных организаций, объединений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3 по 28 апреля 2023 года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Мероприятия в рамках проведения Всероссийского Дня молодого избирателя на территории Грайворонского городского округа в 2023 году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 мере наступления события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Заседания клубов молодых избирателей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 мере наступления события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Заседания Молодёжной избирательной комиссии Грайворонского городского округа согласно плану работы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Согласно календарному плану подготовки и проведению выборов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Заседания 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Анонсирование заседаний, публикация на сайте в сети Интернет и официальных страничках соц сетей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Председатель ТИК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Согласно календарному плану по подготовке ти проведению выборов депутатов Совета депутатов Грайворонского городского округа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Заседания рабочих групп в период подготовки и проведения выборов депутатов Совета депутатов Грайворонского городского округа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428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Анонсирование проводимых заседаний. Публикация на сайте и на официальных страницах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779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Cайт ИКБО, страница Грайворонской ТИК на официальном сайте администрации Грайворонского городского округа,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ВКонтакте, Одноклассники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954" w:type="dxa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 течение суток с даты завершения мероприятия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18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 w:val="false"/>
                <w:sz w:val="24"/>
              </w:rPr>
              <w:outlineLvl w:val="1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818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 w:val="false"/>
          <w:sz w:val="28"/>
        </w:rPr>
        <w:outlineLvl w:val="1"/>
      </w:pP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rFonts w:ascii="PT Astra Serif" w:hAnsi="PT Astra Serif" w:cs="PT Astra Serif" w:eastAsia="PT Astra Serif"/>
          <w:b w:val="false"/>
          <w:sz w:val="28"/>
        </w:rPr>
      </w:r>
      <w:r/>
    </w:p>
    <w:p>
      <w:pPr>
        <w:pStyle w:val="813"/>
        <w:jc w:val="both"/>
        <w:rPr>
          <w:rFonts w:ascii="PT Astra Serif" w:hAnsi="PT Astra Serif" w:cs="PT Astra Serif" w:eastAsia="PT Astra Serif"/>
          <w:b w:val="false"/>
          <w:sz w:val="28"/>
        </w:rPr>
      </w:pP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rFonts w:ascii="PT Astra Serif" w:hAnsi="PT Astra Serif" w:cs="PT Astra Serif" w:eastAsia="PT Astra Serif"/>
          <w:b w:val="false"/>
          <w:sz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character" w:styleId="816">
    <w:name w:val="Основной текст Знак1"/>
    <w:rPr>
      <w:rFonts w:ascii="Arial" w:hAnsi="Arial" w:cs="Arial" w:eastAsia="Arial"/>
      <w:sz w:val="18"/>
    </w:rPr>
  </w:style>
  <w:style w:type="paragraph" w:styleId="817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8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0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2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2023-03-16T10:48:30Z</dcterms:modified>
</cp:coreProperties>
</file>