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Times New Roman CYR" w:hAnsi="Times New Roman CYR"/>
          <w:b/>
          <w:sz w:val="32"/>
          <w:szCs w:val="32"/>
        </w:rPr>
      </w:r>
      <w:r/>
    </w:p>
    <w:p>
      <w:pPr>
        <w:pStyle w:val="837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37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524" w:type="dxa"/>
        <w:jc w:val="center"/>
        <w:tblInd w:w="4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40"/>
        <w:gridCol w:w="2375"/>
        <w:gridCol w:w="360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0" w:type="dxa"/>
            <w:vAlign w:val="top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17 марта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3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75" w:type="dxa"/>
            <w:vAlign w:val="top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09" w:type="dxa"/>
            <w:vAlign w:val="top"/>
            <w:textDirection w:val="lrTb"/>
            <w:noWrap w:val="false"/>
          </w:tcPr>
          <w:p>
            <w:pPr>
              <w:pStyle w:val="834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14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 50-1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4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83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83" w:type="dxa"/>
            <w:vAlign w:val="top"/>
            <w:textDirection w:val="lrTb"/>
            <w:noWrap w:val="false"/>
          </w:tcPr>
          <w:p>
            <w:pPr>
              <w:pStyle w:val="836"/>
              <w:ind w:left="0" w:right="0" w:firstLine="0"/>
              <w:jc w:val="both"/>
              <w:widowControl/>
              <w:rPr>
                <w:rFonts w:ascii="PT Astra Serif" w:hAnsi="PT Astra Serif" w:cs="PT Astra Serif" w:eastAsia="PT Astra Serif"/>
                <w:b/>
                <w:highlight w:val="none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</w:rPr>
              <w:t xml:space="preserve">О Положении об архиве</w:t>
            </w:r>
            <w:r>
              <w:rPr>
                <w:b/>
              </w:rPr>
            </w:r>
            <w:r/>
          </w:p>
          <w:p>
            <w:pPr>
              <w:pStyle w:val="836"/>
              <w:ind w:left="0" w:right="0" w:firstLine="0"/>
              <w:jc w:val="both"/>
              <w:widowControl/>
              <w:rPr>
                <w:rFonts w:ascii="PT Astra Serif" w:hAnsi="PT Astra Serif" w:cs="PT Astra Serif" w:eastAsia="PT Astra Serif"/>
                <w:b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highlight w:val="none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highlight w:val="none"/>
              </w:rPr>
            </w:r>
            <w:r/>
          </w:p>
        </w:tc>
      </w:tr>
    </w:tbl>
    <w:p>
      <w:pPr>
        <w:pStyle w:val="834"/>
        <w:rPr>
          <w:sz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4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Федеральным законом от 22 октября 2004 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125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-ФЗ «Об 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рхивном деле в Российской Федерации» и в целях совершенствования работы по комплектованию, обеспечению сохранности, учету и использованию архивного фонда документов, созданных в результате деятельности Грайворонской территориальной избирательной комиссии,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</w:p>
    <w:p>
      <w:pPr>
        <w:pStyle w:val="834"/>
        <w:ind w:left="0" w:right="0"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Утвердить Положение об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архиве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(прилагается)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</w:p>
    <w:p>
      <w:pPr>
        <w:pStyle w:val="834"/>
        <w:ind w:left="0" w:right="0"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Признать утратившим силу постановление Грайворонской территориальной избирательной комиссии от 26 мая 2022 года № 2/13-1 «О Положении об Архиве Грайворонской территориальной избирательной комиссии Белгородской области».</w:t>
      </w: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</w:p>
    <w:p>
      <w:pPr>
        <w:pStyle w:val="834"/>
        <w:ind w:left="0" w:right="0"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Направить настоящее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Избирательн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Белгородской области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разместить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 официальном сайте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Избирательной комиссии Белгородской области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информационно-телекоммуникационной сети «Интернет»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34"/>
        <w:ind w:left="0" w:right="0"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Контроль за исполнением настоящего постановления возложить на секретаря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ind w:firstLine="709"/>
        <w:jc w:val="both"/>
        <w:rPr>
          <w:sz w:val="28"/>
        </w:rPr>
      </w:pPr>
      <w:r>
        <w:rPr>
          <w:bCs/>
          <w:sz w:val="28"/>
          <w:szCs w:val="28"/>
        </w:rPr>
      </w:r>
      <w:r/>
    </w:p>
    <w:p>
      <w:pPr>
        <w:pStyle w:val="83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Style w:val="682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829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829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9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34"/>
        <w:ind w:left="3969"/>
        <w:jc w:val="center"/>
        <w:sectPr>
          <w:footnotePr/>
          <w:endnotePr/>
          <w:type w:val="nextPage"/>
          <w:pgSz w:w="11907" w:h="16840" w:orient="portrait"/>
          <w:pgMar w:top="1134" w:right="851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b/>
          <w:bCs/>
          <w:spacing w:val="60"/>
          <w:sz w:val="28"/>
          <w:szCs w:val="28"/>
        </w:rPr>
      </w:r>
      <w:r>
        <w:rPr>
          <w:b/>
          <w:bCs/>
          <w:spacing w:val="60"/>
          <w:sz w:val="28"/>
          <w:szCs w:val="28"/>
        </w:rPr>
      </w:r>
      <w:r/>
    </w:p>
    <w:p>
      <w:pPr>
        <w:pStyle w:val="834"/>
        <w:ind w:left="3969"/>
        <w:jc w:val="right"/>
        <w:rPr>
          <w:rFonts w:ascii="PT Astra Serif" w:hAnsi="PT Astra Serif" w:cs="PT Astra Serif" w:eastAsia="PT Astra Serif"/>
          <w:sz w:val="28"/>
          <w:szCs w:val="24"/>
          <w:highlight w:val="none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8"/>
        </w:rPr>
      </w:r>
      <w:r>
        <w:rPr>
          <w:sz w:val="28"/>
        </w:rPr>
      </w:r>
    </w:p>
    <w:p>
      <w:pPr>
        <w:pStyle w:val="834"/>
        <w:ind w:left="3969"/>
        <w:jc w:val="righ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highlight w:val="none"/>
        </w:rPr>
      </w:r>
      <w:r>
        <w:rPr>
          <w:rFonts w:ascii="PT Astra Serif" w:hAnsi="PT Astra Serif" w:cs="PT Astra Serif" w:eastAsia="PT Astra Serif"/>
          <w:sz w:val="28"/>
          <w:szCs w:val="24"/>
          <w:highlight w:val="none"/>
        </w:rPr>
      </w:r>
    </w:p>
    <w:p>
      <w:pPr>
        <w:pStyle w:val="834"/>
        <w:ind w:left="3969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УТВЕРЖДЕНО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4"/>
        <w:ind w:left="3969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Грайворонской 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ind w:left="3969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территориальной избирательной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комиссии  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ind w:left="396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от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17 марта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14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/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50-1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pacing w:val="6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pacing w:val="60"/>
          <w:sz w:val="28"/>
          <w:szCs w:val="28"/>
        </w:rPr>
        <w:t xml:space="preserve">ПОЛОЖЕНИ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б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архиве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збирательной комиссии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1.Общие положения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numPr>
          <w:ilvl w:val="1"/>
          <w:numId w:val="3"/>
        </w:numPr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Положение об </w:t>
      </w:r>
      <w:r>
        <w:rPr>
          <w:rFonts w:ascii="PT Astra Serif" w:hAnsi="PT Astra Serif" w:cs="PT Astra Serif" w:eastAsia="PT Astra Serif"/>
        </w:rPr>
        <w:t xml:space="preserve">архиве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</w:rPr>
        <w:t xml:space="preserve">збирательной комиссии </w:t>
      </w:r>
      <w:r>
        <w:rPr>
          <w:rFonts w:ascii="PT Astra Serif" w:hAnsi="PT Astra Serif" w:cs="PT Astra Serif" w:eastAsia="PT Astra Serif"/>
        </w:rPr>
        <w:t xml:space="preserve">(далее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– Архив) разработано в соответствии с Примерным положением об архиве организации, утвержденным приказом Федерального архивного агентства от 11 апреля 2018 года № 42.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numPr>
          <w:ilvl w:val="1"/>
          <w:numId w:val="3"/>
        </w:numPr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Архив создается в целях осуществления хранения, комплектования, учета и использования документов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(далее – Комиссия)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включая избирательную, управленческую, техническую и другую документацию, имеющую историческое, культурное, научное, социально-политическое значения, составляющую часть Архивного фонда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подлежащую постоянному хранению в Государственном архиве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(далее – 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документов временных (свыше 10 лет) сроков хранения, в том числе по личному составу, образовавшихся в процессе деятельности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а также в целях подготовки документов к передаче на постоянное хранение в 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numPr>
          <w:ilvl w:val="1"/>
          <w:numId w:val="3"/>
        </w:numPr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Положение об Архиве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согласовывается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Государственным архивом Белгородской области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утверждается 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numPr>
          <w:ilvl w:val="1"/>
          <w:numId w:val="3"/>
        </w:numPr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Архив в своей деятельности руководствуется федеральными законами «Об архивном деле в Росси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йской Федерации», «Об основных гарантиях избирательных прав и права на участие в референдуме граждан Российской Федерации», «О выборах Президента Российской Федерации», «О выборах депутатов Государственной Думы Федерального Собрания Российской Федерации»,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законом Белгородской области «Об организации государственного управления архивным делом в Белгородской области»,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постановлениями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Центральной избирательной комиссии Российской Федерации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Регламентом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омиссии, Инструкцией по делопроизводству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омиссии, настоящим Положением.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numPr>
          <w:ilvl w:val="1"/>
          <w:numId w:val="3"/>
        </w:numPr>
        <w:ind w:left="0" w:right="0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Организацию деятельности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Архива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осуществляет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ответственный за ведение делопроизводства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1.6. Контроль за деятельностью Архива возлагается на секретаря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омиссия обеспечивает сохранность, учет, отбор, упорядочение и использование документов, составляющих часть Архивного фонда Белгородской области, а также своевременную передачу этих документов в ГА БО на хранение в соответствии с законом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 «Об организации государственного управления архивным делом в Белгородской области»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правилами, установленными Инструкцией по делопроизводству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2. Состав документов Архива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bCs/>
          <w:sz w:val="28"/>
          <w:szCs w:val="28"/>
          <w:highlight w:val="none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 Архив хранит: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2.1.1. Документы, связанные с</w:t>
      </w:r>
      <w:r>
        <w:rPr>
          <w:rFonts w:ascii="PT Astra Serif" w:hAnsi="PT Astra Serif" w:cs="PT Astra Serif" w:eastAsia="PT Astra Serif"/>
        </w:rPr>
        <w:t xml:space="preserve"> подготовкой и проведением референдума Российской Федерации, выборов Президента Российской Федерации, депутатов Государственной Думы Федерального Собрания Российской Федерации</w:t>
      </w:r>
      <w:r>
        <w:rPr>
          <w:rFonts w:ascii="PT Astra Serif" w:hAnsi="PT Astra Serif" w:cs="PT Astra Serif" w:eastAsia="PT Astra Serif"/>
        </w:rPr>
        <w:t xml:space="preserve">, референдума Белгородской области, выборов Губернатора Белгородской области, депутатов Белгородской областной Думы</w:t>
      </w:r>
      <w:r>
        <w:rPr>
          <w:rFonts w:ascii="PT Astra Serif" w:hAnsi="PT Astra Serif" w:cs="PT Astra Serif" w:eastAsia="PT Astra Serif"/>
        </w:rPr>
        <w:t xml:space="preserve">, выборов депутатов Совета депутатов Грайворонского городского округа.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2.1.2. Документы </w:t>
      </w:r>
      <w:r>
        <w:rPr>
          <w:rFonts w:ascii="PT Astra Serif" w:hAnsi="PT Astra Serif" w:cs="PT Astra Serif" w:eastAsia="PT Astra Serif"/>
        </w:rPr>
        <w:t xml:space="preserve">Комиссии </w:t>
      </w:r>
      <w:r>
        <w:rPr>
          <w:rFonts w:ascii="PT Astra Serif" w:hAnsi="PT Astra Serif" w:cs="PT Astra Serif" w:eastAsia="PT Astra Serif"/>
        </w:rPr>
        <w:t xml:space="preserve">по </w:t>
      </w:r>
      <w:r>
        <w:rPr>
          <w:rFonts w:ascii="PT Astra Serif" w:hAnsi="PT Astra Serif" w:cs="PT Astra Serif" w:eastAsia="PT Astra Serif"/>
        </w:rPr>
        <w:t xml:space="preserve">основной деятельности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постоянного и временных (свыше 10 лет) сроков хранения.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</w:t>
      </w:r>
      <w:r>
        <w:rPr>
          <w:rFonts w:ascii="PT Astra Serif" w:hAnsi="PT Astra Serif" w:cs="PT Astra Serif" w:eastAsia="PT Astra Serif"/>
        </w:rPr>
        <w:t xml:space="preserve">3</w:t>
      </w:r>
      <w:r>
        <w:rPr>
          <w:rFonts w:ascii="PT Astra Serif" w:hAnsi="PT Astra Serif" w:cs="PT Astra Serif" w:eastAsia="PT Astra Serif"/>
        </w:rPr>
        <w:t xml:space="preserve">. Документы по личному составу членов </w:t>
      </w:r>
      <w:r>
        <w:rPr>
          <w:rFonts w:ascii="PT Astra Serif" w:hAnsi="PT Astra Serif" w:cs="PT Astra Serif" w:eastAsia="PT Astra Serif"/>
        </w:rPr>
        <w:t xml:space="preserve">Комиссии</w:t>
      </w:r>
      <w:r>
        <w:rPr>
          <w:rFonts w:ascii="PT Astra Serif" w:hAnsi="PT Astra Serif" w:cs="PT Astra Serif" w:eastAsia="PT Astra Serif"/>
        </w:rPr>
        <w:t xml:space="preserve"> с правом решающего голоса.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2.1.4</w:t>
      </w:r>
      <w:r>
        <w:rPr>
          <w:rFonts w:ascii="PT Astra Serif" w:hAnsi="PT Astra Serif" w:cs="PT Astra Serif" w:eastAsia="PT Astra Serif"/>
        </w:rPr>
        <w:t xml:space="preserve">. </w:t>
      </w:r>
      <w:r>
        <w:rPr>
          <w:rFonts w:ascii="PT Astra Serif" w:hAnsi="PT Astra Serif" w:cs="PT Astra Serif" w:eastAsia="PT Astra Serif"/>
        </w:rPr>
        <w:t xml:space="preserve">Документы временного срока хранения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(5 лет и более)</w:t>
      </w:r>
      <w:r>
        <w:rPr>
          <w:rFonts w:ascii="PT Astra Serif" w:hAnsi="PT Astra Serif" w:cs="PT Astra Serif" w:eastAsia="PT Astra Serif"/>
        </w:rPr>
        <w:t xml:space="preserve">, необходимые для практической работ</w:t>
      </w:r>
      <w:r>
        <w:rPr>
          <w:rFonts w:ascii="PT Astra Serif" w:hAnsi="PT Astra Serif" w:cs="PT Astra Serif" w:eastAsia="PT Astra Serif"/>
        </w:rPr>
        <w:t xml:space="preserve">ы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Комиссии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2.1.5. Личные фонды членов Комиссии, поступившие в Архив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2.1.6</w:t>
      </w:r>
      <w:r>
        <w:rPr>
          <w:rFonts w:ascii="PT Astra Serif" w:hAnsi="PT Astra Serif" w:cs="PT Astra Serif" w:eastAsia="PT Astra Serif"/>
        </w:rPr>
        <w:t xml:space="preserve">. Справочно-поисковые средства к документам и учетные документы Архива. 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2.1.7. Служебные издания </w:t>
      </w:r>
      <w:r>
        <w:rPr>
          <w:rFonts w:ascii="PT Astra Serif" w:hAnsi="PT Astra Serif" w:cs="PT Astra Serif" w:eastAsia="PT Astra Serif"/>
        </w:rPr>
        <w:t xml:space="preserve">Комиссии</w:t>
      </w:r>
      <w:r>
        <w:rPr>
          <w:rFonts w:ascii="PT Astra Serif" w:hAnsi="PT Astra Serif" w:cs="PT Astra Serif" w:eastAsia="PT Astra Serif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2.2. </w:t>
      </w:r>
      <w:r>
        <w:rPr>
          <w:rFonts w:ascii="PT Astra Serif" w:hAnsi="PT Astra Serif" w:cs="PT Astra Serif" w:eastAsia="PT Astra Serif"/>
        </w:rPr>
        <w:t xml:space="preserve">Дела с пометкой «До минования надобности» и со сроками хранения 1 год, 5 лет, 5 лет ЭПК</w:t>
      </w:r>
      <w:r>
        <w:rPr>
          <w:rStyle w:val="832"/>
          <w:rFonts w:ascii="PT Astra Serif" w:hAnsi="PT Astra Serif" w:cs="PT Astra Serif" w:eastAsia="PT Astra Serif"/>
        </w:rPr>
        <w:footnoteReference w:id="2"/>
      </w:r>
      <w:r>
        <w:rPr>
          <w:rFonts w:ascii="PT Astra Serif" w:hAnsi="PT Astra Serif" w:cs="PT Astra Serif" w:eastAsia="PT Astra Serif"/>
        </w:rPr>
        <w:t xml:space="preserve">, 10 лет</w:t>
      </w:r>
      <w:r>
        <w:rPr>
          <w:rFonts w:ascii="PT Astra Serif" w:hAnsi="PT Astra Serif" w:cs="PT Astra Serif" w:eastAsia="PT Astra Serif"/>
        </w:rPr>
        <w:t xml:space="preserve">, 10 лет ЭПК</w:t>
      </w:r>
      <w:r>
        <w:rPr>
          <w:rFonts w:ascii="PT Astra Serif" w:hAnsi="PT Astra Serif" w:cs="PT Astra Serif" w:eastAsia="PT Astra Serif"/>
        </w:rPr>
        <w:t xml:space="preserve"> хранятся в </w:t>
      </w:r>
      <w:r>
        <w:rPr>
          <w:rFonts w:ascii="PT Astra Serif" w:hAnsi="PT Astra Serif" w:cs="PT Astra Serif" w:eastAsia="PT Astra Serif"/>
        </w:rPr>
        <w:t xml:space="preserve">Архиве </w:t>
      </w:r>
      <w:r>
        <w:rPr>
          <w:rFonts w:ascii="PT Astra Serif" w:hAnsi="PT Astra Serif" w:cs="PT Astra Serif" w:eastAsia="PT Astra Serif"/>
        </w:rPr>
        <w:t xml:space="preserve">до истечения сроков хранения</w:t>
      </w:r>
      <w:r>
        <w:rPr>
          <w:rFonts w:ascii="PT Astra Serif" w:hAnsi="PT Astra Serif" w:cs="PT Astra Serif" w:eastAsia="PT Astra Serif"/>
        </w:rPr>
        <w:t xml:space="preserve"> и либо переводятся на постоянное хранение по решению постоянно действующей экспертной комиссии </w:t>
      </w:r>
      <w:r>
        <w:rPr>
          <w:rFonts w:ascii="PT Astra Serif" w:hAnsi="PT Astra Serif" w:cs="PT Astra Serif" w:eastAsia="PT Astra Serif"/>
        </w:rPr>
        <w:t xml:space="preserve">(далее – </w:t>
      </w:r>
      <w:r>
        <w:rPr>
          <w:rFonts w:ascii="PT Astra Serif" w:hAnsi="PT Astra Serif" w:cs="PT Astra Serif" w:eastAsia="PT Astra Serif"/>
        </w:rPr>
        <w:t xml:space="preserve">ЭК), либо уничтожаются на основании акта установленной формы.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3</w:t>
      </w:r>
      <w:r>
        <w:rPr>
          <w:rFonts w:ascii="PT Astra Serif" w:hAnsi="PT Astra Serif" w:cs="PT Astra Serif" w:eastAsia="PT Astra Serif"/>
        </w:rPr>
        <w:t xml:space="preserve">. </w:t>
      </w:r>
      <w:r>
        <w:rPr>
          <w:rFonts w:ascii="PT Astra Serif" w:hAnsi="PT Astra Serif" w:cs="PT Astra Serif" w:eastAsia="PT Astra Serif"/>
        </w:rPr>
        <w:t xml:space="preserve">Д</w:t>
      </w:r>
      <w:r>
        <w:rPr>
          <w:rFonts w:ascii="PT Astra Serif" w:hAnsi="PT Astra Serif" w:cs="PT Astra Serif" w:eastAsia="PT Astra Serif"/>
        </w:rPr>
        <w:t xml:space="preserve">ела постоянного</w:t>
      </w:r>
      <w:r>
        <w:rPr>
          <w:rFonts w:ascii="PT Astra Serif" w:hAnsi="PT Astra Serif" w:cs="PT Astra Serif" w:eastAsia="PT Astra Serif"/>
        </w:rPr>
        <w:t xml:space="preserve"> срока</w:t>
      </w:r>
      <w:r>
        <w:rPr>
          <w:rFonts w:ascii="PT Astra Serif" w:hAnsi="PT Astra Serif" w:cs="PT Astra Serif" w:eastAsia="PT Astra Serif"/>
        </w:rPr>
        <w:t xml:space="preserve"> хранения в Архиве хранятся в течение 15 лет, затем передаются на постоянное хранение в ГА</w:t>
      </w:r>
      <w:r>
        <w:rPr>
          <w:rFonts w:ascii="PT Astra Serif" w:hAnsi="PT Astra Serif" w:cs="PT Astra Serif" w:eastAsia="PT Astra Serif"/>
        </w:rPr>
        <w:t xml:space="preserve"> БО</w:t>
      </w:r>
      <w:r>
        <w:rPr>
          <w:rFonts w:ascii="PT Astra Serif" w:hAnsi="PT Astra Serif" w:cs="PT Astra Serif" w:eastAsia="PT Astra Serif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3. Задачи Архива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К задачам Архива относятся</w:t>
      </w:r>
      <w:r>
        <w:rPr>
          <w:rFonts w:ascii="PT Astra Serif" w:hAnsi="PT Astra Serif" w:cs="PT Astra Serif" w:eastAsia="PT Astra Serif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3.1. Организация хранения документов, состав которых предусмотрен разделом 2 настоящего Положения.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3.2. Комплектование Архива документами, образовавшимися в деятельности </w:t>
      </w:r>
      <w:r>
        <w:rPr>
          <w:rFonts w:ascii="PT Astra Serif" w:hAnsi="PT Astra Serif" w:cs="PT Astra Serif" w:eastAsia="PT Astra Serif"/>
        </w:rPr>
        <w:t xml:space="preserve">Комиссии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3.3. Учет и обеспечение сохранности документов, находящихся на хранении в Архиве.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3.4. Использование документов, находящихся на хранении в Архиве.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</w:t>
      </w: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 Подготовка проектов нормативных и методических документов по организации делопроизводства в части, касающейся деятельности Архива.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3.6. Подготовка и своевременная передача документов Архивного фонда </w:t>
      </w:r>
      <w:r>
        <w:rPr>
          <w:rFonts w:ascii="PT Astra Serif" w:hAnsi="PT Astra Serif" w:cs="PT Astra Serif" w:eastAsia="PT Astra Serif"/>
        </w:rPr>
        <w:t xml:space="preserve">Белгородской области</w:t>
      </w:r>
      <w:r>
        <w:rPr>
          <w:rFonts w:ascii="PT Astra Serif" w:hAnsi="PT Astra Serif" w:cs="PT Astra Serif" w:eastAsia="PT Astra Serif"/>
        </w:rPr>
        <w:t xml:space="preserve"> на постоянное хранение в ГА</w:t>
      </w:r>
      <w:r>
        <w:rPr>
          <w:rFonts w:ascii="PT Astra Serif" w:hAnsi="PT Astra Serif" w:cs="PT Astra Serif" w:eastAsia="PT Astra Serif"/>
        </w:rPr>
        <w:t xml:space="preserve"> БО.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</w:t>
      </w:r>
      <w:r>
        <w:rPr>
          <w:rFonts w:ascii="PT Astra Serif" w:hAnsi="PT Astra Serif" w:cs="PT Astra Serif" w:eastAsia="PT Astra Serif"/>
        </w:rPr>
        <w:t xml:space="preserve">7</w:t>
      </w:r>
      <w:r>
        <w:rPr>
          <w:rFonts w:ascii="PT Astra Serif" w:hAnsi="PT Astra Serif" w:cs="PT Astra Serif" w:eastAsia="PT Astra Serif"/>
        </w:rPr>
        <w:t xml:space="preserve">. Подготовка к уничтожению документов временны</w:t>
      </w:r>
      <w:r>
        <w:rPr>
          <w:rFonts w:ascii="PT Astra Serif" w:hAnsi="PT Astra Serif" w:cs="PT Astra Serif" w:eastAsia="PT Astra Serif"/>
        </w:rPr>
        <w:t xml:space="preserve">х</w:t>
      </w:r>
      <w:r>
        <w:rPr>
          <w:rFonts w:ascii="PT Astra Serif" w:hAnsi="PT Astra Serif" w:cs="PT Astra Serif" w:eastAsia="PT Astra Serif"/>
        </w:rPr>
        <w:t xml:space="preserve"> (</w:t>
      </w:r>
      <w:r>
        <w:rPr>
          <w:rFonts w:ascii="PT Astra Serif" w:hAnsi="PT Astra Serif" w:cs="PT Astra Serif" w:eastAsia="PT Astra Serif"/>
        </w:rPr>
        <w:t xml:space="preserve">свыше </w:t>
        <w:br/>
      </w:r>
      <w:r>
        <w:rPr>
          <w:rFonts w:ascii="PT Astra Serif" w:hAnsi="PT Astra Serif" w:cs="PT Astra Serif" w:eastAsia="PT Astra Serif"/>
        </w:rPr>
        <w:t xml:space="preserve">10 лет) сроко</w:t>
      </w:r>
      <w:r>
        <w:rPr>
          <w:rFonts w:ascii="PT Astra Serif" w:hAnsi="PT Astra Serif" w:cs="PT Astra Serif" w:eastAsia="PT Astra Serif"/>
        </w:rPr>
        <w:t xml:space="preserve">в</w:t>
      </w:r>
      <w:r>
        <w:rPr>
          <w:rFonts w:ascii="PT Astra Serif" w:hAnsi="PT Astra Serif" w:cs="PT Astra Serif" w:eastAsia="PT Astra Serif"/>
        </w:rPr>
        <w:t xml:space="preserve"> хранения.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3.8</w:t>
      </w:r>
      <w:r>
        <w:rPr>
          <w:rFonts w:ascii="PT Astra Serif" w:hAnsi="PT Astra Serif" w:cs="PT Astra Serif" w:eastAsia="PT Astra Serif"/>
        </w:rPr>
        <w:t xml:space="preserve">. </w:t>
      </w:r>
      <w:r>
        <w:rPr>
          <w:rFonts w:ascii="PT Astra Serif" w:hAnsi="PT Astra Serif" w:cs="PT Astra Serif" w:eastAsia="PT Astra Serif"/>
        </w:rPr>
        <w:t xml:space="preserve">Представление на рассмотрение </w:t>
      </w:r>
      <w:r>
        <w:rPr>
          <w:rFonts w:ascii="PT Astra Serif" w:hAnsi="PT Astra Serif" w:cs="PT Astra Serif" w:eastAsia="PT Astra Serif"/>
        </w:rPr>
        <w:t xml:space="preserve">ЭК описи дел, подлежащих хранению, и актов на дела, выделенные к уничтожению в связи с истечением сроков</w:t>
      </w:r>
      <w:r>
        <w:rPr>
          <w:rFonts w:ascii="PT Astra Serif" w:hAnsi="PT Astra Serif" w:cs="PT Astra Serif" w:eastAsia="PT Astra Serif"/>
        </w:rPr>
        <w:t xml:space="preserve"> их хранения, участие в работе </w:t>
      </w:r>
      <w:r>
        <w:rPr>
          <w:rFonts w:ascii="PT Astra Serif" w:hAnsi="PT Astra Serif" w:cs="PT Astra Serif" w:eastAsia="PT Astra Serif"/>
        </w:rPr>
        <w:t xml:space="preserve">ЭК.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ind w:firstLine="0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4. Функции Архива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Архив осуществляет следующие функции: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4.1</w:t>
      </w:r>
      <w:r>
        <w:rPr>
          <w:rFonts w:ascii="PT Astra Serif" w:hAnsi="PT Astra Serif" w:cs="PT Astra Serif" w:eastAsia="PT Astra Serif"/>
        </w:rPr>
        <w:t xml:space="preserve">. </w:t>
      </w:r>
      <w:r>
        <w:rPr>
          <w:rFonts w:ascii="PT Astra Serif" w:hAnsi="PT Astra Serif" w:cs="PT Astra Serif" w:eastAsia="PT Astra Serif"/>
        </w:rPr>
        <w:t xml:space="preserve">Организует прием упорядоченных документов постоянного и временных (свыше 10 лет) сроков хранения, подлежащих передаче в Архив, в том числе по личному составу.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4.2.</w:t>
      </w:r>
      <w:r>
        <w:rPr>
          <w:rFonts w:ascii="PT Astra Serif" w:hAnsi="PT Astra Serif" w:cs="PT Astra Serif" w:eastAsia="PT Astra Serif"/>
        </w:rPr>
        <w:t xml:space="preserve"> Осуществляет учет </w:t>
      </w:r>
      <w:r>
        <w:rPr>
          <w:rFonts w:ascii="PT Astra Serif" w:hAnsi="PT Astra Serif" w:cs="PT Astra Serif" w:eastAsia="PT Astra Serif"/>
        </w:rPr>
        <w:t xml:space="preserve">находящихся на хранении</w:t>
      </w:r>
      <w:r>
        <w:rPr>
          <w:rFonts w:ascii="PT Astra Serif" w:hAnsi="PT Astra Serif" w:cs="PT Astra Serif" w:eastAsia="PT Astra Serif"/>
        </w:rPr>
        <w:t xml:space="preserve"> в Архиве дел и документов, совершенствует его формы и методы, обеспечивает полную сохранность дел и документов, не реже одного раза в </w:t>
      </w:r>
      <w:r>
        <w:rPr>
          <w:rFonts w:ascii="PT Astra Serif" w:hAnsi="PT Astra Serif" w:cs="PT Astra Serif" w:eastAsia="PT Astra Serif"/>
        </w:rPr>
        <w:t xml:space="preserve">пять лет</w:t>
      </w:r>
      <w:r>
        <w:rPr>
          <w:rFonts w:ascii="PT Astra Serif" w:hAnsi="PT Astra Serif" w:cs="PT Astra Serif" w:eastAsia="PT Astra Serif"/>
        </w:rPr>
        <w:t xml:space="preserve"> проводит проверку наличия </w:t>
      </w:r>
      <w:r>
        <w:rPr>
          <w:rFonts w:ascii="PT Astra Serif" w:hAnsi="PT Astra Serif" w:cs="PT Astra Serif" w:eastAsia="PT Astra Serif"/>
        </w:rPr>
        <w:t xml:space="preserve">документов </w:t>
      </w:r>
      <w:r>
        <w:rPr>
          <w:rFonts w:ascii="PT Astra Serif" w:hAnsi="PT Astra Serif" w:cs="PT Astra Serif" w:eastAsia="PT Astra Serif"/>
        </w:rPr>
        <w:t xml:space="preserve">и состояния дел в Архиве.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</w:t>
      </w:r>
      <w:r>
        <w:rPr>
          <w:rFonts w:ascii="PT Astra Serif" w:hAnsi="PT Astra Serif" w:cs="PT Astra Serif" w:eastAsia="PT Astra Serif"/>
        </w:rPr>
        <w:t xml:space="preserve">.3.</w:t>
      </w:r>
      <w:r>
        <w:rPr>
          <w:rFonts w:ascii="PT Astra Serif" w:hAnsi="PT Astra Serif" w:cs="PT Astra Serif" w:eastAsia="PT Astra Serif"/>
        </w:rPr>
        <w:t xml:space="preserve"> Систематизирует и размещает документы, поступающие на хранение в Архив.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4.4.</w:t>
      </w:r>
      <w:r>
        <w:rPr>
          <w:rFonts w:ascii="PT Astra Serif" w:hAnsi="PT Astra Serif" w:cs="PT Astra Serif" w:eastAsia="PT Astra Serif"/>
        </w:rPr>
        <w:t xml:space="preserve"> Осуществляет подготовку и представляет: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а) на рассмотрение и согласование ЭК описи дел постоянного хранения, временных (свыше 10 лет) сроков х</w:t>
      </w:r>
      <w:r>
        <w:rPr>
          <w:rFonts w:ascii="PT Astra Serif" w:hAnsi="PT Astra Serif" w:cs="PT Astra Serif" w:eastAsia="PT Astra Serif"/>
        </w:rPr>
        <w:t xml:space="preserve">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акты о переводе документов на постоянное хранение;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б) на утверждение ЭПК ГА</w:t>
      </w:r>
      <w:r>
        <w:rPr>
          <w:rFonts w:ascii="PT Astra Serif" w:hAnsi="PT Astra Serif" w:cs="PT Astra Serif" w:eastAsia="PT Astra Serif"/>
        </w:rPr>
        <w:t xml:space="preserve"> БО</w:t>
      </w:r>
      <w:r>
        <w:rPr>
          <w:rFonts w:ascii="PT Astra Serif" w:hAnsi="PT Astra Serif" w:cs="PT Astra Serif" w:eastAsia="PT Astra Serif"/>
        </w:rPr>
        <w:t xml:space="preserve"> описи дел постоянного хранения;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в) на согласование ЭПК ГА</w:t>
      </w:r>
      <w:r>
        <w:rPr>
          <w:rFonts w:ascii="PT Astra Serif" w:hAnsi="PT Astra Serif" w:cs="PT Astra Serif" w:eastAsia="PT Astra Serif"/>
          <w:bCs/>
        </w:rPr>
        <w:t xml:space="preserve"> БО</w:t>
      </w:r>
      <w:r>
        <w:rPr>
          <w:rFonts w:ascii="PT Astra Serif" w:hAnsi="PT Astra Serif" w:cs="PT Astra Serif" w:eastAsia="PT Astra Serif"/>
          <w:bCs/>
        </w:rPr>
        <w:t xml:space="preserve"> описи дел по личному составу, акты об утрате документов, о неисправимых повреждениях архивных документов;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г) на утверждение председателю Комиссии описи дел постоянного х</w:t>
      </w:r>
      <w:r>
        <w:rPr>
          <w:rFonts w:ascii="PT Astra Serif" w:hAnsi="PT Astra Serif" w:cs="PT Astra Serif" w:eastAsia="PT Astra Serif"/>
          <w:bCs/>
        </w:rPr>
        <w:t xml:space="preserve">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</w:t>
      </w:r>
      <w:r>
        <w:rPr>
          <w:rFonts w:ascii="PT Astra Serif" w:hAnsi="PT Astra Serif" w:cs="PT Astra Serif" w:eastAsia="PT Astra Serif"/>
        </w:rPr>
        <w:t xml:space="preserve">акты о переводе документов на постоянное хранение, </w:t>
      </w:r>
      <w:r>
        <w:rPr>
          <w:rFonts w:ascii="PT Astra Serif" w:hAnsi="PT Astra Serif" w:cs="PT Astra Serif" w:eastAsia="PT Astra Serif"/>
          <w:bCs/>
        </w:rPr>
        <w:t xml:space="preserve">согласованные в установленном порядке с ЭК, а также согласованные либо утвержденные в установленном законом порядке ЭПК ГА БО.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4.5. </w:t>
      </w:r>
      <w:r>
        <w:rPr>
          <w:rFonts w:ascii="PT Astra Serif" w:hAnsi="PT Astra Serif" w:cs="PT Astra Serif" w:eastAsia="PT Astra Serif"/>
        </w:rPr>
        <w:t xml:space="preserve">Проводит</w:t>
      </w:r>
      <w:r>
        <w:rPr>
          <w:rFonts w:ascii="PT Astra Serif" w:hAnsi="PT Astra Serif" w:cs="PT Astra Serif" w:eastAsia="PT Astra Serif"/>
        </w:rPr>
        <w:t xml:space="preserve"> экспертиз</w:t>
      </w:r>
      <w:r>
        <w:rPr>
          <w:rFonts w:ascii="PT Astra Serif" w:hAnsi="PT Astra Serif" w:cs="PT Astra Serif" w:eastAsia="PT Astra Serif"/>
        </w:rPr>
        <w:t xml:space="preserve">у</w:t>
      </w:r>
      <w:r>
        <w:rPr>
          <w:rFonts w:ascii="PT Astra Serif" w:hAnsi="PT Astra Serif" w:cs="PT Astra Serif" w:eastAsia="PT Astra Serif"/>
        </w:rPr>
        <w:t xml:space="preserve"> ценности документов временных (свыше 10 лет) сроков хранения, находящихся на хранении в Архиве, в целях отбора документов для включения в состав Архивного фонда </w:t>
      </w:r>
      <w:r>
        <w:rPr>
          <w:rFonts w:ascii="PT Astra Serif" w:hAnsi="PT Astra Serif" w:cs="PT Astra Serif" w:eastAsia="PT Astra Serif"/>
        </w:rPr>
        <w:t xml:space="preserve">Белгородской области</w:t>
      </w:r>
      <w:r>
        <w:rPr>
          <w:rFonts w:ascii="PT Astra Serif" w:hAnsi="PT Astra Serif" w:cs="PT Astra Serif" w:eastAsia="PT Astra Serif"/>
        </w:rPr>
        <w:t xml:space="preserve">, а также выявления документов, не подлежащих дальнейшему хранению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</w:t>
      </w:r>
      <w:r>
        <w:rPr>
          <w:rFonts w:ascii="PT Astra Serif" w:hAnsi="PT Astra Serif" w:cs="PT Astra Serif" w:eastAsia="PT Astra Serif"/>
        </w:rPr>
        <w:t xml:space="preserve">6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Организует и обеспечивает передачу документов Архивного фонда </w:t>
      </w:r>
      <w:r>
        <w:rPr>
          <w:rFonts w:ascii="PT Astra Serif" w:hAnsi="PT Astra Serif" w:cs="PT Astra Serif" w:eastAsia="PT Astra Serif"/>
        </w:rPr>
        <w:t xml:space="preserve">Белгородской области</w:t>
      </w:r>
      <w:r>
        <w:rPr>
          <w:rFonts w:ascii="PT Astra Serif" w:hAnsi="PT Astra Serif" w:cs="PT Astra Serif" w:eastAsia="PT Astra Serif"/>
        </w:rPr>
        <w:t xml:space="preserve"> на постоянное хранение в ГА</w:t>
      </w:r>
      <w:r>
        <w:rPr>
          <w:rFonts w:ascii="PT Astra Serif" w:hAnsi="PT Astra Serif" w:cs="PT Astra Serif" w:eastAsia="PT Astra Serif"/>
        </w:rPr>
        <w:t xml:space="preserve"> БО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4.7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Организует информирование руководства </w:t>
      </w:r>
      <w:r>
        <w:rPr>
          <w:rFonts w:ascii="PT Astra Serif" w:hAnsi="PT Astra Serif" w:cs="PT Astra Serif" w:eastAsia="PT Astra Serif"/>
        </w:rPr>
        <w:t xml:space="preserve">Комиссии</w:t>
      </w:r>
      <w:r>
        <w:rPr>
          <w:rFonts w:ascii="PT Astra Serif" w:hAnsi="PT Astra Serif" w:cs="PT Astra Serif" w:eastAsia="PT Astra Serif"/>
        </w:rPr>
        <w:t xml:space="preserve"> о составе и содержании документов Архива.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4.8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Организует выдачу документов и дел во временное пользование.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4.9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Ведет учет использования документов Архива.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4.10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Осуществляет ведение справочно-поисковых средств к документам Архива.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4.11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Участвует в разработке документов </w:t>
      </w:r>
      <w:r>
        <w:rPr>
          <w:rFonts w:ascii="PT Astra Serif" w:hAnsi="PT Astra Serif" w:cs="PT Astra Serif" w:eastAsia="PT Astra Serif"/>
        </w:rPr>
        <w:t xml:space="preserve">Комиссии</w:t>
      </w:r>
      <w:r>
        <w:rPr>
          <w:rFonts w:ascii="PT Astra Serif" w:hAnsi="PT Astra Serif" w:cs="PT Astra Serif" w:eastAsia="PT Astra Serif"/>
        </w:rPr>
        <w:t xml:space="preserve"> по вопросам архивного дела и делопроизводства.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4.12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Оказывает методическую помощь</w:t>
      </w:r>
      <w:r>
        <w:rPr>
          <w:rFonts w:ascii="PT Astra Serif" w:hAnsi="PT Astra Serif" w:cs="PT Astra Serif" w:eastAsia="PT Astra Serif"/>
        </w:rPr>
        <w:t xml:space="preserve"> участковым избирательным комиссиям</w:t>
      </w:r>
      <w:r>
        <w:rPr>
          <w:rFonts w:ascii="PT Astra Serif" w:hAnsi="PT Astra Serif" w:cs="PT Astra Serif" w:eastAsia="PT Astra Serif"/>
        </w:rPr>
        <w:t xml:space="preserve"> в </w:t>
      </w:r>
      <w:r>
        <w:rPr>
          <w:rFonts w:ascii="PT Astra Serif" w:hAnsi="PT Astra Serif" w:cs="PT Astra Serif" w:eastAsia="PT Astra Serif"/>
        </w:rPr>
        <w:t xml:space="preserve">формировании и оформлении дел, подготовке документов к передаче в Архив, выдает архивные копии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4.13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Организует работу по сканированию документов для создания страхового фонда копий особо ценных дел и документов, обеспечивает сохранность и ведет учет этих копий.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4.14</w:t>
      </w:r>
      <w:r>
        <w:rPr>
          <w:rFonts w:ascii="PT Astra Serif" w:hAnsi="PT Astra Serif" w:cs="PT Astra Serif" w:eastAsia="PT Astra Serif"/>
          <w:i/>
        </w:rPr>
        <w:t xml:space="preserve">. </w:t>
      </w:r>
      <w:r>
        <w:rPr>
          <w:rFonts w:ascii="PT Astra Serif" w:hAnsi="PT Astra Serif" w:cs="PT Astra Serif" w:eastAsia="PT Astra Serif"/>
        </w:rPr>
        <w:t xml:space="preserve">Участвует в проведении мероприятий по повышению квалификации работников </w:t>
      </w:r>
      <w:r>
        <w:rPr>
          <w:rFonts w:ascii="PT Astra Serif" w:hAnsi="PT Astra Serif" w:cs="PT Astra Serif" w:eastAsia="PT Astra Serif"/>
        </w:rPr>
        <w:t xml:space="preserve">Комиссии</w:t>
      </w:r>
      <w:r>
        <w:rPr>
          <w:rFonts w:ascii="PT Astra Serif" w:hAnsi="PT Astra Serif" w:cs="PT Astra Serif" w:eastAsia="PT Astra Serif"/>
          <w:b/>
        </w:rPr>
        <w:t xml:space="preserve">, </w:t>
      </w:r>
      <w:r>
        <w:rPr>
          <w:rFonts w:ascii="PT Astra Serif" w:hAnsi="PT Astra Serif" w:cs="PT Astra Serif" w:eastAsia="PT Astra Serif"/>
        </w:rPr>
        <w:t xml:space="preserve">отвечающих за документационное обеспечение.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5. Права Архива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Архив имеет право: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5.1.</w:t>
      </w:r>
      <w:r>
        <w:rPr>
          <w:rFonts w:ascii="PT Astra Serif" w:hAnsi="PT Astra Serif" w:cs="PT Astra Serif" w:eastAsia="PT Astra Serif"/>
          <w:bCs/>
        </w:rPr>
        <w:t xml:space="preserve"> Представлять в установленном порядке предложения по совершенствованию организации хранения, комплектования, учета и использования архивных документов.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5.2.</w:t>
      </w:r>
      <w:r>
        <w:rPr>
          <w:rFonts w:ascii="PT Astra Serif" w:hAnsi="PT Astra Serif" w:cs="PT Astra Serif" w:eastAsia="PT Astra Serif"/>
          <w:bCs/>
        </w:rPr>
        <w:t xml:space="preserve"> Запрашивать в </w:t>
      </w:r>
      <w:r>
        <w:rPr>
          <w:rFonts w:ascii="PT Astra Serif" w:hAnsi="PT Astra Serif" w:cs="PT Astra Serif" w:eastAsia="PT Astra Serif"/>
          <w:bCs/>
        </w:rPr>
        <w:t xml:space="preserve">участковых избирательных комиссиях</w:t>
      </w:r>
      <w:r>
        <w:rPr>
          <w:rFonts w:ascii="PT Astra Serif" w:hAnsi="PT Astra Serif" w:cs="PT Astra Serif" w:eastAsia="PT Astra Serif"/>
          <w:bCs/>
        </w:rPr>
        <w:t xml:space="preserve"> сведения, необходимые для работы Архива.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5.3.</w:t>
      </w:r>
      <w:r>
        <w:rPr>
          <w:rFonts w:ascii="PT Astra Serif" w:hAnsi="PT Astra Serif" w:cs="PT Astra Serif" w:eastAsia="PT Astra Serif"/>
          <w:bCs/>
        </w:rPr>
        <w:t xml:space="preserve"> Давать рекомендации </w:t>
      </w:r>
      <w:r>
        <w:rPr>
          <w:rFonts w:ascii="PT Astra Serif" w:hAnsi="PT Astra Serif" w:cs="PT Astra Serif" w:eastAsia="PT Astra Serif"/>
          <w:bCs/>
        </w:rPr>
        <w:t xml:space="preserve">участковым избирательным комиссиям</w:t>
      </w:r>
      <w:r>
        <w:rPr>
          <w:rFonts w:ascii="PT Astra Serif" w:hAnsi="PT Astra Serif" w:cs="PT Astra Serif" w:eastAsia="PT Astra Serif"/>
          <w:bCs/>
        </w:rPr>
        <w:t xml:space="preserve"> </w:t>
      </w:r>
      <w:r>
        <w:rPr>
          <w:rFonts w:ascii="PT Astra Serif" w:hAnsi="PT Astra Serif" w:cs="PT Astra Serif" w:eastAsia="PT Astra Serif"/>
          <w:bCs/>
        </w:rPr>
        <w:t xml:space="preserve">по вопросам, относящимся к компетенции Архива.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5.4.</w:t>
      </w:r>
      <w:r>
        <w:rPr>
          <w:rFonts w:ascii="PT Astra Serif" w:hAnsi="PT Astra Serif" w:cs="PT Astra Serif" w:eastAsia="PT Astra Serif"/>
          <w:bCs/>
        </w:rPr>
        <w:t xml:space="preserve"> Информировать </w:t>
      </w:r>
      <w:r>
        <w:rPr>
          <w:rFonts w:ascii="PT Astra Serif" w:hAnsi="PT Astra Serif" w:cs="PT Astra Serif" w:eastAsia="PT Astra Serif"/>
          <w:bCs/>
        </w:rPr>
        <w:t xml:space="preserve">участковые избирательные комиссии </w:t>
      </w:r>
      <w:r>
        <w:rPr>
          <w:rFonts w:ascii="PT Astra Serif" w:hAnsi="PT Astra Serif" w:cs="PT Astra Serif" w:eastAsia="PT Astra Serif"/>
          <w:bCs/>
        </w:rPr>
        <w:t xml:space="preserve">о необходимости передачи документов в Архив в соответствии с утвержденным графиком.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5.5. Участвовать в контроле за выполнением установленных Инструкцией по делопроизводству в Комиссии правил работы с документами в участковых избирательных комиссиях</w:t>
      </w:r>
      <w:r>
        <w:rPr>
          <w:rFonts w:ascii="PT Astra Serif" w:hAnsi="PT Astra Serif" w:cs="PT Astra Serif" w:eastAsia="PT Astra Serif"/>
          <w:bCs/>
        </w:rPr>
        <w:t xml:space="preserve">, требовать соблюдения этих правил при формировании дел в текущем делопроизводстве и при подготовке их к сдаче в Архив.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</w:rPr>
        <w:t xml:space="preserve">5.6</w:t>
      </w:r>
      <w:r>
        <w:rPr>
          <w:rFonts w:ascii="PT Astra Serif" w:hAnsi="PT Astra Serif" w:cs="PT Astra Serif" w:eastAsia="PT Astra Serif"/>
          <w:bCs/>
        </w:rPr>
        <w:t xml:space="preserve">.</w:t>
      </w:r>
      <w:r>
        <w:rPr>
          <w:rFonts w:ascii="PT Astra Serif" w:hAnsi="PT Astra Serif" w:cs="PT Astra Serif" w:eastAsia="PT Astra Serif"/>
          <w:bCs/>
        </w:rPr>
        <w:t xml:space="preserve"> П</w:t>
      </w:r>
      <w:r>
        <w:rPr>
          <w:rFonts w:ascii="PT Astra Serif" w:hAnsi="PT Astra Serif" w:cs="PT Astra Serif" w:eastAsia="PT Astra Serif"/>
          <w:bCs/>
        </w:rPr>
        <w:t xml:space="preserve">ринимать участие в заседаниях </w:t>
      </w:r>
      <w:r>
        <w:rPr>
          <w:rFonts w:ascii="PT Astra Serif" w:hAnsi="PT Astra Serif" w:cs="PT Astra Serif" w:eastAsia="PT Astra Serif"/>
          <w:bCs/>
        </w:rPr>
        <w:t xml:space="preserve">ЭК.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.7</w:t>
      </w:r>
      <w:r>
        <w:rPr>
          <w:rFonts w:ascii="PT Astra Serif" w:hAnsi="PT Astra Serif" w:cs="PT Astra Serif" w:eastAsia="PT Astra Serif"/>
        </w:rPr>
        <w:t xml:space="preserve">. Участвовать в мероприятиях, проводимых управлени</w:t>
      </w:r>
      <w:r>
        <w:rPr>
          <w:rFonts w:ascii="PT Astra Serif" w:hAnsi="PT Astra Serif" w:cs="PT Astra Serif" w:eastAsia="PT Astra Serif"/>
        </w:rPr>
        <w:t xml:space="preserve">ем по делам архивов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Белгородской области</w:t>
      </w:r>
      <w:r>
        <w:rPr>
          <w:rFonts w:ascii="PT Astra Serif" w:hAnsi="PT Astra Serif" w:cs="PT Astra Serif" w:eastAsia="PT Astra Serif"/>
        </w:rPr>
        <w:t xml:space="preserve">, иными организациями, по вопросам архивного дела и документационного обеспечения.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.8</w:t>
      </w:r>
      <w:r>
        <w:rPr>
          <w:rFonts w:ascii="PT Astra Serif" w:hAnsi="PT Astra Serif" w:cs="PT Astra Serif" w:eastAsia="PT Astra Serif"/>
        </w:rPr>
        <w:t xml:space="preserve">. Участвовать в разработке проектов планов, программ, иных нормативных и методических документов по вопросам делопроизводства и архивного дела, вносимых в установленном порядке на рассмотрение </w:t>
      </w:r>
      <w:r>
        <w:rPr>
          <w:rFonts w:ascii="PT Astra Serif" w:hAnsi="PT Astra Serif" w:cs="PT Astra Serif" w:eastAsia="PT Astra Serif"/>
        </w:rPr>
        <w:br/>
      </w:r>
      <w:r>
        <w:rPr>
          <w:rFonts w:ascii="PT Astra Serif" w:hAnsi="PT Astra Serif" w:cs="PT Astra Serif" w:eastAsia="PT Astra Serif"/>
        </w:rPr>
        <w:t xml:space="preserve">Комиссии.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.9</w:t>
      </w:r>
      <w:r>
        <w:rPr>
          <w:rFonts w:ascii="PT Astra Serif" w:hAnsi="PT Astra Serif" w:cs="PT Astra Serif" w:eastAsia="PT Astra Serif"/>
        </w:rPr>
        <w:t xml:space="preserve">. Привлекать в установленном порядке для консультаций по вопросам деятельности Архива</w:t>
      </w:r>
      <w:r>
        <w:rPr>
          <w:rFonts w:ascii="PT Astra Serif" w:hAnsi="PT Astra Serif" w:cs="PT Astra Serif" w:eastAsia="PT Astra Serif"/>
        </w:rPr>
        <w:t xml:space="preserve"> специалистов других организаций на договорной основе.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.10</w:t>
      </w:r>
      <w:r>
        <w:rPr>
          <w:rFonts w:ascii="PT Astra Serif" w:hAnsi="PT Astra Serif" w:cs="PT Astra Serif" w:eastAsia="PT Astra Serif"/>
        </w:rPr>
        <w:t xml:space="preserve">. Пользоваться </w:t>
      </w:r>
      <w:r>
        <w:rPr>
          <w:rFonts w:ascii="PT Astra Serif" w:hAnsi="PT Astra Serif" w:cs="PT Astra Serif" w:eastAsia="PT Astra Serif"/>
        </w:rPr>
        <w:t xml:space="preserve">информационными ресурсами Государственной автоматизированной системы Российской Федерации «Выборы»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6. Ответственность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6.1. Члены Комиссии </w:t>
      </w:r>
      <w:r>
        <w:rPr>
          <w:rFonts w:ascii="PT Astra Serif" w:hAnsi="PT Astra Serif" w:cs="PT Astra Serif" w:eastAsia="PT Astra Serif"/>
        </w:rPr>
        <w:t xml:space="preserve">и другие пользователи несут ответственность за утрату и порчу документов государственной части АФ БО, полученных ими в Архиве, в соответствии с действующим законодательством и должностными инструкциями, утвержденными в установленном порядке.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6.2. </w:t>
      </w:r>
      <w:r>
        <w:rPr>
          <w:rFonts w:ascii="PT Astra Serif" w:hAnsi="PT Astra Serif" w:cs="PT Astra Serif" w:eastAsia="PT Astra Serif"/>
        </w:rPr>
        <w:t xml:space="preserve">Секретарь Комиссии </w:t>
      </w:r>
      <w:r>
        <w:rPr>
          <w:rFonts w:ascii="PT Astra Serif" w:hAnsi="PT Astra Serif" w:cs="PT Astra Serif" w:eastAsia="PT Astra Serif"/>
        </w:rPr>
        <w:t xml:space="preserve">несет ответственность за выполнение возложенных на Архив задач, за утрату и порчу документов, находящихся в Архиве, в соответствии с действующим законодательством и должностными инструкциями,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утвержденными в установленном порядке.</w:t>
      </w:r>
      <w:r>
        <w:rPr>
          <w:rFonts w:ascii="PT Astra Serif" w:hAnsi="PT Astra Serif" w:cs="PT Astra Serif" w:eastAsia="PT Astra Serif"/>
        </w:rPr>
      </w:r>
      <w:r/>
    </w:p>
    <w:p>
      <w:pPr>
        <w:pStyle w:val="835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33"/>
      </w:pPr>
      <w:r>
        <w:rPr>
          <w:rStyle w:val="832"/>
        </w:rPr>
        <w:footnoteRef/>
      </w:r>
      <w:r>
        <w:t xml:space="preserve"> Отметка «ЭПК» (экспертно-проверочная комиссия) означает, что часть документов может быть отнесена к сроку хранения «постоянно».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PT Astra Serif" w:hAnsi="PT Astra Serif" w:cs="PT Astra Serif" w:eastAsia="PT Astra Serif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6"/>
    <w:next w:val="826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6"/>
    <w:next w:val="826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6"/>
    <w:next w:val="826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826"/>
    <w:next w:val="826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2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3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4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5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6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7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4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7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8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9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0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1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2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4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5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6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7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8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9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0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8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9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0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1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2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3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4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5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6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7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8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9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0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1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2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3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4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5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6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7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rPr>
      <w:sz w:val="20"/>
    </w:rPr>
    <w:pPr>
      <w:spacing w:lineRule="auto" w:line="240" w:after="0"/>
    </w:p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No Spacing"/>
    <w:basedOn w:val="826"/>
    <w:qFormat/>
    <w:uiPriority w:val="1"/>
    <w:pPr>
      <w:spacing w:lineRule="auto" w:line="240" w:after="0"/>
    </w:pPr>
  </w:style>
  <w:style w:type="paragraph" w:styleId="830">
    <w:name w:val="List Paragraph"/>
    <w:basedOn w:val="826"/>
    <w:qFormat/>
    <w:uiPriority w:val="34"/>
    <w:pPr>
      <w:contextualSpacing w:val="true"/>
      <w:ind w:left="720"/>
    </w:pPr>
  </w:style>
  <w:style w:type="character" w:styleId="831" w:default="1">
    <w:name w:val="Default Paragraph Font"/>
    <w:uiPriority w:val="1"/>
    <w:semiHidden/>
    <w:unhideWhenUsed/>
  </w:style>
  <w:style w:type="character" w:styleId="832">
    <w:name w:val="Знак сноски"/>
    <w:rPr>
      <w:vertAlign w:val="superscript"/>
    </w:rPr>
  </w:style>
  <w:style w:type="paragraph" w:styleId="833">
    <w:name w:val="Текст сноски"/>
    <w:rPr>
      <w:rFonts w:ascii="Times New Roman" w:hAnsi="Times New Roman" w:cs="Times New Roman CYR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4">
    <w:name w:val="Обычный"/>
    <w:rPr>
      <w:rFonts w:ascii="Times New Roman" w:hAnsi="Times New Roman" w:cs="Times New Roman CYR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5">
    <w:name w:val="Т-1,5"/>
    <w:rPr>
      <w:rFonts w:ascii="Times New Roman" w:hAnsi="Times New Roman" w:cs="Times New Roman CYR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6" w:customStyle="1">
    <w:name w:val="Body Text 21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8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7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2023-03-16T11:28:13Z</dcterms:modified>
</cp:coreProperties>
</file>