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ind w:left="-180"/>
        <w:jc w:val="center"/>
        <w:rPr>
          <w:b/>
          <w:lang w:val="en-US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bookmarkStart w:id="0" w:name="_1087737223"/>
      <w:r/>
      <w:bookmarkEnd w:id="0"/>
      <w:r>
        <w:rPr>
          <w:b/>
          <w:lang w:val="en-US"/>
        </w:rPr>
      </w:r>
      <w:r/>
    </w:p>
    <w:p>
      <w:pPr>
        <w:pStyle w:val="611"/>
        <w:ind w:left="-18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</w:r>
      <w:r/>
    </w:p>
    <w:p>
      <w:pPr>
        <w:pStyle w:val="1_634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32"/>
        </w:rPr>
      </w:r>
      <w:r/>
    </w:p>
    <w:p>
      <w:pPr>
        <w:pStyle w:val="1_634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32"/>
        </w:rPr>
      </w:r>
      <w:r/>
      <w:r>
        <w:rPr>
          <w:rFonts w:ascii="Times New Roman CYR" w:hAnsi="Times New Roman CYR"/>
          <w:b/>
          <w:sz w:val="32"/>
          <w:szCs w:val="32"/>
        </w:rPr>
      </w:r>
      <w:r/>
    </w:p>
    <w:p>
      <w:pPr>
        <w:pStyle w:val="611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</w:r>
      <w:r/>
    </w:p>
    <w:p>
      <w:pPr>
        <w:pStyle w:val="611"/>
        <w:jc w:val="center"/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</w:p>
    <w:p>
      <w:pPr>
        <w:pStyle w:val="611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  <w:r/>
    </w:p>
    <w:tbl>
      <w:tblPr>
        <w:tblW w:w="9356" w:type="dxa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285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17 марта 2023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58" w:type="dxa"/>
            <w:vAlign w:val="top"/>
            <w:textDirection w:val="lrTb"/>
            <w:noWrap w:val="false"/>
          </w:tcPr>
          <w:p>
            <w:pPr>
              <w:pStyle w:val="611"/>
              <w:jc w:val="righ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14/53-1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</w:tbl>
    <w:p>
      <w:pPr>
        <w:pStyle w:val="611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</w:r>
      <w:r/>
    </w:p>
    <w:p>
      <w:pPr>
        <w:pStyle w:val="611"/>
        <w:ind w:right="4252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Плане работы Контрольно-ревизионной службы при Грайворонской территориальной избирательной комиссии на 202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11"/>
        <w:ind w:right="3235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25"/>
        <w:ind w:right="-1" w:firstLine="708"/>
        <w:jc w:val="both"/>
        <w:spacing w:lineRule="auto" w:line="240" w:after="0"/>
        <w:rPr>
          <w:rFonts w:ascii="PT Astra Serif" w:hAnsi="PT Astra Serif" w:cs="PT Astra Serif" w:eastAsia="PT Astra Serif"/>
          <w:color w:val="111111"/>
          <w:sz w:val="28"/>
          <w:szCs w:val="28"/>
        </w:rPr>
      </w:pP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В соответствии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со статьей 60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статьей 70 Избирательно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го кодекса Белгородской области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, постановлени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ем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от 23 июня 2022 года № 3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/15-1 «О создании контрольно - ревизионной службы при Грайворонской территориальной избирательной комиссии»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23"/>
        <w:ind w:left="0" w:right="0" w:firstLine="720"/>
        <w:jc w:val="both"/>
        <w:spacing w:after="0"/>
        <w:rPr>
          <w:rFonts w:ascii="PT Astra Serif" w:hAnsi="PT Astra Serif" w:cs="PT Astra Serif" w:eastAsia="PT Astra Serif"/>
          <w:color w:val="111111"/>
          <w:sz w:val="28"/>
          <w:szCs w:val="28"/>
        </w:rPr>
      </w:pP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1.Утвердить План работы Контрольно-ревизионной службы при Грайворонской территориальной избирательной комиссии на 202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 год (прилагается).</w:t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708"/>
        <w:jc w:val="both"/>
        <w:spacing w:lineRule="auto" w:line="24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2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1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  <w:r/>
    </w:p>
    <w:p>
      <w:pPr>
        <w:pStyle w:val="611"/>
        <w:ind w:left="8931"/>
        <w:jc w:val="center"/>
        <w:spacing w:lineRule="exact" w:line="230"/>
        <w:shd w:val="clear" w:fill="FFFFFF" w:color="FFFFFF"/>
        <w:rPr>
          <w:sz w:val="24"/>
          <w:szCs w:val="24"/>
        </w:rPr>
        <w:sectPr>
          <w:headerReference w:type="default" r:id="rId9"/>
          <w:footnotePr/>
          <w:endnotePr/>
          <w:type w:val="continuous"/>
          <w:pgSz w:w="11909" w:h="16834" w:orient="portrait"/>
          <w:pgMar w:top="1134" w:right="851" w:bottom="1134" w:left="1701" w:header="720" w:footer="720" w:gutter="0"/>
          <w:cols w:num="1" w:sep="0" w:space="60" w:equalWidth="1"/>
          <w:docGrid w:linePitch="360"/>
          <w:titlePg/>
        </w:sectPr>
      </w:pPr>
      <w:r>
        <w:rPr>
          <w:sz w:val="24"/>
          <w:szCs w:val="24"/>
        </w:rPr>
      </w:r>
      <w:r/>
    </w:p>
    <w:p>
      <w:pPr>
        <w:pStyle w:val="611"/>
        <w:ind w:left="8931"/>
        <w:jc w:val="center"/>
        <w:spacing w:lineRule="exact" w:line="230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</w:r>
      <w:r/>
    </w:p>
    <w:p>
      <w:pPr>
        <w:pStyle w:val="611"/>
        <w:ind w:left="8931"/>
        <w:jc w:val="center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Грайворонской территориальной избирательной </w:t>
      </w:r>
      <w:r/>
      <w:r>
        <w:rPr>
          <w:sz w:val="24"/>
          <w:szCs w:val="24"/>
        </w:rPr>
        <w:t xml:space="preserve">комиссии </w:t>
      </w:r>
      <w:r/>
    </w:p>
    <w:p>
      <w:pPr>
        <w:pStyle w:val="611"/>
        <w:ind w:left="8931"/>
        <w:jc w:val="center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 марта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14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  <w:t xml:space="preserve">53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1</w:t>
      </w:r>
      <w:r/>
    </w:p>
    <w:p>
      <w:pPr>
        <w:pStyle w:val="611"/>
        <w:ind w:right="730"/>
        <w:jc w:val="center"/>
        <w:shd w:val="clear" w:fill="FFFFFF" w:color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</w:r>
      <w:r/>
    </w:p>
    <w:p>
      <w:pPr>
        <w:pStyle w:val="611"/>
        <w:ind w:right="730"/>
        <w:jc w:val="center"/>
        <w:shd w:val="clear" w:fill="FFFFFF" w:color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ПЛАН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РАБОТЫ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</w:r>
      <w:r/>
    </w:p>
    <w:p>
      <w:pPr>
        <w:pStyle w:val="611"/>
        <w:ind w:right="730"/>
        <w:jc w:val="center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Контрольно-ревизионной службы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Грайворонской территориальной избирательной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комиссии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11"/>
        <w:ind w:right="730"/>
        <w:jc w:val="center"/>
        <w:shd w:val="clear" w:fill="FFFFFF" w:color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</w:t>
      </w:r>
      <w:r>
        <w:rPr>
          <w:b/>
          <w:bCs/>
          <w:sz w:val="28"/>
          <w:szCs w:val="28"/>
        </w:rPr>
      </w:r>
      <w:r/>
    </w:p>
    <w:p>
      <w:pPr>
        <w:pStyle w:val="611"/>
        <w:ind w:right="739"/>
        <w:jc w:val="left"/>
        <w:shd w:val="clear" w:fill="FFFFFF" w:color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tbl>
      <w:tblPr>
        <w:tblW w:w="4949" w:type="pct"/>
        <w:tblInd w:w="-6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4047"/>
        <w:gridCol w:w="5721"/>
        <w:gridCol w:w="2268"/>
        <w:gridCol w:w="1882"/>
      </w:tblGrid>
      <w:tr>
        <w:trPr/>
        <w:tc>
          <w:tcPr>
            <w:shd w:val="clear" w:fill="FFFFFF" w:color="FFFFFF"/>
            <w:tcW w:w="57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404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Направление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7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18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Срок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fill="FFFFFF" w:color="FFFFFF"/>
            <w:tcW w:w="1449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Организация работы КРС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W w:w="578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4047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контрольно-ревизионной службы при Грайворонской 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721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заседания 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Краснокутский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188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Март -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W w:w="578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4047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Грайворонской территориальной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работы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721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Грайворонской 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внесение изменений в состав контрольно-ревизионной службы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Грайворонской территориальной избирательной комиссии»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188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Март - декабрь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W w:w="57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4047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7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органами,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дразделениями ПАО Сбербанк, с территориальными органами ФНС России, УМВД, Минюста, Росреестра, а также с иными государственными и муниципальными органами, органами государственной власти, органами местного самоуправления, иными организациями 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Краснокутский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188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Март - декабрь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fill="FFFFFF" w:color="FFFFFF"/>
            <w:tcW w:w="1449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Участие в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семинаров, круглых столов, учебы, дистанционного обучения, 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W w:w="578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4047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обучения представителей Грайворонской территориальной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 деятельности 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721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членов КРС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Грайворонской 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«Контрольно-ревизионная служба при территориальной избирательной комиссии»;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Грайворонской территориальной избирательной комиссии»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«Избирательные фонды кандидатов, избирательных объединений»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Краснокутский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Крамской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188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fill="FFFFFF" w:color="FFFFFF"/>
            <w:tcW w:w="1449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обеспечение деятельности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W w:w="578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4047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Наполнение и обновление информации по направлениям деятельности КРС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сайте Администрации Грайворонского городского округа в разделе «Избирательная комиссия», в соцсетях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</w:tc>
        <w:tc>
          <w:tcPr>
            <w:shd w:val="clear" w:fill="FFFFFF" w:color="FFFFFF"/>
            <w:tcW w:w="5721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00000" w:themeColor="text1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Наполнение и обновление информации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сайте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Грайворонского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разделе «Грайворонская территориальная избирательная комиссия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 направлениям деятельности КРС: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pStyle w:val="611"/>
              <w:numPr>
                <w:ilvl w:val="0"/>
                <w:numId w:val="7"/>
              </w:numPr>
              <w:ind w:left="57" w:right="57"/>
              <w:jc w:val="both"/>
              <w:shd w:val="clear" w:fill="FFFFFF" w:color="FFFFFF"/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Политические партии (текущая деятельность): </w:t>
            </w:r>
            <w:r>
              <w:rPr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pStyle w:val="611"/>
              <w:ind w:left="57" w:right="57"/>
              <w:jc w:val="both"/>
              <w:shd w:val="clear" w:fill="FFFFFF" w:color="FFFFFF"/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сведения об общей сумме средств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,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поступивших, израсходованных и возвращенных региональными отделениями политических партий;</w:t>
            </w:r>
            <w:r>
              <w:rPr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pStyle w:val="611"/>
              <w:ind w:left="57" w:right="57"/>
              <w:jc w:val="both"/>
              <w:shd w:val="clear" w:fill="FFFFFF" w:color="FFFFFF"/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сводные сведения о поступлении и расходовании средств региональных отделений политических партий;</w:t>
            </w:r>
            <w:r>
              <w:rPr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pStyle w:val="611"/>
              <w:ind w:left="57" w:right="57"/>
              <w:jc w:val="both"/>
              <w:shd w:val="clear" w:fill="FFFFFF" w:color="FFFFFF"/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информация о результатах проверки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сведений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о поступлении и расходовании средств региональных отделений политических партий;</w:t>
            </w:r>
            <w:r>
              <w:rPr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2</w:t>
            </w:r>
            <w:hyperlink r:id="rId13" w:tooltip="http://1.КРС" w:history="1">
              <w:r>
                <w:rPr>
                  <w:rStyle w:val="172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none"/>
                  <w:u w:val="none"/>
                </w:rPr>
                <w:t xml:space="preserve">. КРС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положение о КРС;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состав КРС;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00000" w:themeColor="text1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план работы КРС.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pStyle w:val="611"/>
              <w:ind w:left="57" w:right="57"/>
              <w:jc w:val="both"/>
              <w:shd w:val="clear" w:fill="FFFFFF" w:color="FFFFFF"/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- отчеты избирательных комиссий о расходовании средств, выделенных из бюджетов на подготовку и проведение выборов (в соотв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етствии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с Регламентом информационного наполнения официального сайта Избирательной комиссии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Белгородской области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на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Интернет-портале ГАС «Выборы» в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информационно-телекоммуникационной сети «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Интернет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»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); </w:t>
            </w:r>
            <w:r>
              <w:rPr>
                <w:color w:val="000000" w:themeColor="text1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pStyle w:val="611"/>
              <w:ind w:left="57" w:right="57"/>
              <w:jc w:val="both"/>
              <w:shd w:val="clear" w:fill="FFFFFF" w:color="FFFFFF"/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финансовые отчеты кандидатов, избирательных объединений (в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соотв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етствии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с Регламентом информационного наполнения официального сайта Избирательной комиссии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Белгородской области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на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Интернет-портале ГАС «Выборы» в информационно-телекоммуникационной сети «Интернет»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);</w:t>
            </w:r>
            <w:r>
              <w:rPr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pStyle w:val="611"/>
              <w:ind w:left="57" w:right="57"/>
              <w:jc w:val="both"/>
              <w:shd w:val="clear" w:fill="FFFFFF" w:color="FFFFFF"/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сведения об общей сумме средств, поступивших в избирательные фонды кандидатов, избирательных объединений и израсходованные из них (в соотв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етствии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с Регламентом информационного наполнения официального сайта Избирательной комиссии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Белгородской области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на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Интернет-портале ГАС «Выборы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» в информационно-телекоммуникационной сети «Интернет»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)</w:t>
            </w:r>
            <w:r>
              <w:rPr>
                <w:color w:val="000000" w:themeColor="text1"/>
                <w:sz w:val="24"/>
                <w:szCs w:val="24"/>
                <w:u w:val="none"/>
              </w:rPr>
            </w:r>
            <w:r>
              <w:rPr>
                <w:color w:val="000000" w:themeColor="text1"/>
                <w:u w:val="none"/>
              </w:rPr>
            </w:r>
          </w:p>
          <w:p>
            <w:pPr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none"/>
              </w:rPr>
            </w:r>
          </w:p>
        </w:tc>
        <w:tc>
          <w:tcPr>
            <w:shd w:val="clear" w:fill="FFFFFF" w:color="FFFFFF"/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Краснокутский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Крамской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188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декабрь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left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11"/>
        <w:ind w:right="739"/>
        <w:jc w:val="center"/>
        <w:shd w:val="clear" w:fill="FFFFFF" w:color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11"/>
        <w:ind w:right="739"/>
        <w:jc w:val="center"/>
        <w:shd w:val="clear" w:fill="FFFFFF" w:color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bCs/>
          <w:sz w:val="18"/>
          <w:szCs w:val="18"/>
        </w:rPr>
      </w:r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tbl>
      <w:tblPr>
        <w:tblW w:w="5182" w:type="pct"/>
        <w:tblInd w:w="-60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937"/>
        <w:gridCol w:w="283"/>
        <w:gridCol w:w="950"/>
        <w:gridCol w:w="5856"/>
      </w:tblGrid>
      <w:tr>
        <w:trPr>
          <w:trHeight w:val="12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937" w:type="dxa"/>
            <w:vAlign w:val="top"/>
            <w:textDirection w:val="lrTb"/>
            <w:noWrap w:val="false"/>
          </w:tcPr>
          <w:p>
            <w:pPr>
              <w:pStyle w:val="611"/>
              <w:ind w:left="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Заместитель председателя</w:t>
            </w:r>
            <w:r/>
          </w:p>
          <w:p>
            <w:pPr>
              <w:pStyle w:val="611"/>
              <w:ind w:left="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Грайворонской территориальной избирательной комиссии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611"/>
              <w:ind w:left="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</w:t>
            </w:r>
            <w:r>
              <w:rPr>
                <w:b/>
                <w:bCs/>
                <w:sz w:val="26"/>
                <w:szCs w:val="26"/>
              </w:rPr>
              <w:t xml:space="preserve">уководитель</w:t>
            </w:r>
            <w:r>
              <w:rPr>
                <w:b/>
                <w:bCs/>
                <w:sz w:val="26"/>
                <w:szCs w:val="26"/>
              </w:rPr>
              <w:t xml:space="preserve"> К</w:t>
            </w:r>
            <w:r>
              <w:rPr>
                <w:b/>
                <w:bCs/>
                <w:sz w:val="26"/>
                <w:szCs w:val="26"/>
              </w:rPr>
              <w:t xml:space="preserve">онтрольно-ревизионной службы</w:t>
            </w:r>
            <w:r/>
          </w:p>
          <w:p>
            <w:pPr>
              <w:pStyle w:val="611"/>
              <w:ind w:left="101"/>
              <w:jc w:val="center"/>
              <w:rPr>
                <w:spacing w:val="-1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 Грайворонской территориальной избирательной комиссии</w:t>
            </w:r>
            <w:r>
              <w:rPr>
                <w:spacing w:val="-1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0" w:type="dxa"/>
            <w:vAlign w:val="top"/>
            <w:textDirection w:val="lrTb"/>
            <w:noWrap w:val="false"/>
          </w:tcPr>
          <w:p>
            <w:pPr>
              <w:pStyle w:val="611"/>
              <w:ind w:left="2293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56" w:type="dxa"/>
            <w:vAlign w:val="bottom"/>
            <w:textDirection w:val="lrTb"/>
            <w:noWrap w:val="false"/>
          </w:tcPr>
          <w:p>
            <w:pPr>
              <w:pStyle w:val="611"/>
              <w:ind w:left="10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Е.А. Леденёв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</w:tr>
    </w:tbl>
    <w:p>
      <w:r/>
    </w:p>
    <w:sectPr>
      <w:footnotePr/>
      <w:endnotePr/>
      <w:type w:val="nextPage"/>
      <w:pgSz w:w="16834" w:h="11909" w:orient="landscape"/>
      <w:pgMar w:top="851" w:right="850" w:bottom="851" w:left="1701" w:header="720" w:footer="720" w:gutter="0"/>
      <w:pgNumType w:start="1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8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11">
    <w:name w:val="Обычный"/>
    <w:next w:val="611"/>
    <w:link w:val="611"/>
    <w:rPr>
      <w:rFonts w:ascii="Times New Roman" w:hAnsi="Times New Roman"/>
      <w:lang w:val="ru-RU" w:bidi="ar-SA" w:eastAsia="ru-RU"/>
    </w:rPr>
    <w:pPr>
      <w:widowControl w:val="off"/>
    </w:pPr>
  </w:style>
  <w:style w:type="character" w:styleId="612">
    <w:name w:val="Основной шрифт абзаца"/>
    <w:next w:val="612"/>
    <w:link w:val="611"/>
    <w:semiHidden/>
  </w:style>
  <w:style w:type="table" w:styleId="613">
    <w:name w:val="Обычная таблица"/>
    <w:next w:val="613"/>
    <w:link w:val="611"/>
    <w:semiHidden/>
    <w:tblPr/>
  </w:style>
  <w:style w:type="numbering" w:styleId="614">
    <w:name w:val="Нет списка"/>
    <w:next w:val="614"/>
    <w:link w:val="611"/>
    <w:semiHidden/>
  </w:style>
  <w:style w:type="paragraph" w:styleId="615">
    <w:name w:val="Название"/>
    <w:basedOn w:val="611"/>
    <w:next w:val="615"/>
    <w:link w:val="616"/>
    <w:rPr>
      <w:rFonts w:eastAsia="Times New Roman"/>
      <w:b/>
      <w:bCs/>
      <w:sz w:val="28"/>
      <w:szCs w:val="28"/>
      <w:lang w:eastAsia="en-US"/>
    </w:rPr>
    <w:pPr>
      <w:jc w:val="center"/>
      <w:widowControl/>
    </w:pPr>
  </w:style>
  <w:style w:type="character" w:styleId="616">
    <w:name w:val="Название Знак"/>
    <w:basedOn w:val="612"/>
    <w:next w:val="616"/>
    <w:link w:val="615"/>
    <w:rPr>
      <w:rFonts w:ascii="Times New Roman" w:hAnsi="Times New Roman" w:eastAsia="Times New Roman"/>
      <w:b/>
      <w:bCs/>
      <w:sz w:val="28"/>
      <w:szCs w:val="28"/>
      <w:lang w:eastAsia="en-US"/>
    </w:rPr>
  </w:style>
  <w:style w:type="paragraph" w:styleId="617">
    <w:name w:val="Основной текст с отступом"/>
    <w:basedOn w:val="611"/>
    <w:next w:val="617"/>
    <w:link w:val="618"/>
    <w:semiHidden/>
    <w:rPr>
      <w:rFonts w:eastAsia="Times New Roman"/>
      <w:sz w:val="24"/>
      <w:szCs w:val="24"/>
      <w:lang w:val="en-US" w:eastAsia="en-US"/>
    </w:rPr>
    <w:pPr>
      <w:ind w:left="283"/>
      <w:spacing w:after="120"/>
      <w:widowControl/>
    </w:pPr>
  </w:style>
  <w:style w:type="character" w:styleId="618">
    <w:name w:val="Основной текст с отступом Знак"/>
    <w:basedOn w:val="612"/>
    <w:next w:val="618"/>
    <w:link w:val="617"/>
    <w:semiHidden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619">
    <w:name w:val="Верхний колонтитул"/>
    <w:basedOn w:val="611"/>
    <w:next w:val="619"/>
    <w:link w:val="620"/>
    <w:pPr>
      <w:tabs>
        <w:tab w:val="center" w:pos="4677" w:leader="none"/>
        <w:tab w:val="right" w:pos="9355" w:leader="none"/>
      </w:tabs>
    </w:pPr>
  </w:style>
  <w:style w:type="character" w:styleId="620">
    <w:name w:val="Верхний колонтитул Знак"/>
    <w:basedOn w:val="612"/>
    <w:next w:val="620"/>
    <w:link w:val="619"/>
    <w:rPr>
      <w:rFonts w:ascii="Times New Roman" w:hAnsi="Times New Roman"/>
    </w:rPr>
  </w:style>
  <w:style w:type="paragraph" w:styleId="621">
    <w:name w:val="Нижний колонтитул"/>
    <w:basedOn w:val="611"/>
    <w:next w:val="621"/>
    <w:link w:val="622"/>
    <w:semiHidden/>
    <w:pPr>
      <w:tabs>
        <w:tab w:val="center" w:pos="4677" w:leader="none"/>
        <w:tab w:val="right" w:pos="9355" w:leader="none"/>
      </w:tabs>
    </w:pPr>
  </w:style>
  <w:style w:type="character" w:styleId="622">
    <w:name w:val="Нижний колонтитул Знак"/>
    <w:basedOn w:val="612"/>
    <w:next w:val="622"/>
    <w:link w:val="621"/>
    <w:semiHidden/>
    <w:rPr>
      <w:rFonts w:ascii="Times New Roman" w:hAnsi="Times New Roman"/>
    </w:rPr>
  </w:style>
  <w:style w:type="paragraph" w:styleId="623">
    <w:name w:val="Основной текст"/>
    <w:basedOn w:val="611"/>
    <w:next w:val="623"/>
    <w:link w:val="624"/>
    <w:semiHidden/>
    <w:pPr>
      <w:spacing w:after="120"/>
    </w:pPr>
  </w:style>
  <w:style w:type="character" w:styleId="624">
    <w:name w:val="Основной текст Знак"/>
    <w:basedOn w:val="612"/>
    <w:next w:val="624"/>
    <w:link w:val="623"/>
    <w:semiHidden/>
    <w:rPr>
      <w:rFonts w:ascii="Times New Roman" w:hAnsi="Times New Roman"/>
    </w:rPr>
  </w:style>
  <w:style w:type="paragraph" w:styleId="625">
    <w:name w:val="Основной текст 2"/>
    <w:basedOn w:val="611"/>
    <w:next w:val="625"/>
    <w:link w:val="626"/>
    <w:rPr>
      <w:sz w:val="24"/>
      <w:szCs w:val="24"/>
    </w:rPr>
    <w:pPr>
      <w:spacing w:lineRule="auto" w:line="480" w:after="120"/>
      <w:widowControl/>
    </w:pPr>
  </w:style>
  <w:style w:type="character" w:styleId="626">
    <w:name w:val="Основной текст 2 Знак"/>
    <w:basedOn w:val="612"/>
    <w:next w:val="626"/>
    <w:link w:val="625"/>
    <w:rPr>
      <w:rFonts w:ascii="Times New Roman" w:hAnsi="Times New Roman"/>
      <w:sz w:val="24"/>
      <w:szCs w:val="24"/>
    </w:rPr>
  </w:style>
  <w:style w:type="character" w:styleId="4563" w:default="1">
    <w:name w:val="Default Paragraph Font"/>
    <w:uiPriority w:val="1"/>
    <w:semiHidden/>
    <w:unhideWhenUsed/>
  </w:style>
  <w:style w:type="numbering" w:styleId="4564" w:default="1">
    <w:name w:val="No List"/>
    <w:uiPriority w:val="99"/>
    <w:semiHidden/>
    <w:unhideWhenUsed/>
  </w:style>
  <w:style w:type="paragraph" w:styleId="4565" w:default="1">
    <w:name w:val="Normal"/>
    <w:qFormat/>
  </w:style>
  <w:style w:type="table" w:styleId="4566" w:default="1">
    <w:name w:val="Normal Table"/>
    <w:uiPriority w:val="99"/>
    <w:semiHidden/>
    <w:unhideWhenUsed/>
    <w:tblPr/>
  </w:style>
  <w:style w:type="paragraph" w:styleId="1_634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Relationship Id="rId13" Type="http://schemas.openxmlformats.org/officeDocument/2006/relationships/hyperlink" Target="http://1.&#1050;&#1056;&#1057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2023-03-14T11:06:13Z</dcterms:modified>
</cp:coreProperties>
</file>