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4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4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4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10 апреля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15/54-1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О внесении изменений в постановление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избирательной комиссии от </w:t>
            </w:r>
            <w:hyperlink r:id="rId11" w:tooltip="http://09.02.2023" w:history="1">
              <w:r>
                <w:rPr>
                  <w:rStyle w:val="794"/>
                  <w:rFonts w:ascii="PT Astra Serif" w:hAnsi="PT Astra Serif" w:cs="PT Astra Serif" w:eastAsia="PT Astra Serif"/>
                  <w:b/>
                  <w:color w:val="000000" w:themeColor="text1"/>
                  <w:sz w:val="28"/>
                  <w:u w:val="none"/>
                  <w:lang w:val="ru-RU"/>
                </w:rPr>
                <w:t xml:space="preserve">09.02.2023</w:t>
              </w:r>
            </w:hyperlink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№ 13/41-1 «Об утверждении регламента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избирательной комиссии»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15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15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</w:p>
    <w:p>
      <w:pPr>
        <w:pStyle w:val="821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соответствии с ч. 4 ст. 20 Федерального закона от </w:t>
      </w:r>
      <w:hyperlink r:id="rId12" w:tooltip="http://12.06.2002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12.06.2002 </w:t>
        </w:r>
      </w:hyperlink>
      <w:r>
        <w:rPr>
          <w:rFonts w:ascii="PT Astra Serif" w:hAnsi="PT Astra Serif" w:cs="PT Astra Serif" w:eastAsia="PT Astra Serif"/>
          <w:sz w:val="28"/>
        </w:rPr>
        <w:t xml:space="preserve">№ 67-ФЗ «Об основных гарантиях избират</w:t>
      </w:r>
      <w:r>
        <w:rPr>
          <w:rFonts w:ascii="PT Astra Serif" w:hAnsi="PT Astra Serif" w:cs="PT Astra Serif" w:eastAsia="PT Astra Serif"/>
          <w:sz w:val="28"/>
        </w:rPr>
        <w:t xml:space="preserve">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ч.1</w:t>
      </w:r>
      <w:r>
        <w:rPr>
          <w:rFonts w:ascii="PT Astra Serif" w:hAnsi="PT Astra Serif" w:cs="PT Astra Serif" w:eastAsia="PT Astra Serif"/>
          <w:color w:val="000000" w:themeColor="text1"/>
          <w:sz w:val="28"/>
          <w:u w:val="none"/>
        </w:rPr>
        <w:t xml:space="preserve"> </w:t>
      </w:r>
      <w:hyperlink r:id="rId13" w:tooltip="http://ст.12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ст.12</w:t>
        </w:r>
      </w:hyperlink>
      <w:r>
        <w:rPr>
          <w:rFonts w:ascii="PT Astra Serif" w:hAnsi="PT Astra Serif" w:cs="PT Astra Serif" w:eastAsia="PT Astra Serif"/>
          <w:sz w:val="28"/>
        </w:rPr>
        <w:t xml:space="preserve"> Федерального закона от</w:t>
      </w:r>
      <w:r>
        <w:rPr>
          <w:rFonts w:ascii="PT Astra Serif" w:hAnsi="PT Astra Serif" w:cs="PT Astra Serif" w:eastAsia="PT Astra Serif"/>
          <w:color w:val="000000" w:themeColor="text1"/>
          <w:sz w:val="28"/>
          <w:u w:val="none"/>
        </w:rPr>
        <w:t xml:space="preserve"> </w:t>
      </w:r>
      <w:hyperlink r:id="rId14" w:tooltip="http://02.05.2006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02.05.2006</w:t>
        </w:r>
      </w:hyperlink>
      <w:r>
        <w:rPr>
          <w:rFonts w:ascii="PT Astra Serif" w:hAnsi="PT Astra Serif" w:cs="PT Astra Serif" w:eastAsia="PT Astra Serif"/>
          <w:sz w:val="28"/>
        </w:rPr>
        <w:t xml:space="preserve"> № 59-ФЗ «О порядке рассмотрения обращения граждан Российской Федерации»,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 Внести изменения в </w:t>
      </w:r>
      <w:r>
        <w:rPr>
          <w:rFonts w:ascii="PT Astra Serif" w:hAnsi="PT Astra Serif" w:cs="PT Astra Serif" w:eastAsia="PT Astra Serif"/>
          <w:sz w:val="28"/>
        </w:rPr>
        <w:t xml:space="preserve">постановление Грайворонской территориальной избирательной комиссии от </w:t>
      </w:r>
      <w:hyperlink r:id="rId15" w:tooltip="http://09.02.2023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09.02.2023</w:t>
        </w:r>
      </w:hyperlink>
      <w:r>
        <w:rPr>
          <w:rFonts w:ascii="PT Astra Serif" w:hAnsi="PT Astra Serif" w:cs="PT Astra Serif" w:eastAsia="PT Astra Serif"/>
          <w:sz w:val="28"/>
        </w:rPr>
        <w:t xml:space="preserve"> №13/41-1 «Об утверждении регламента Грайворонской территориальной избирательной комиссии», а именно: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ind w:left="0" w:right="0" w:firstLine="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ст. 56 Регламента Грайворонской территориальной избирательной комиссии изложить в следующей редакции: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ind w:left="0" w:right="0"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В соответствии с ч. 4 ст. 20 Федерального закона от </w:t>
      </w:r>
      <w:hyperlink r:id="rId16" w:tooltip="http://12.06.2002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1</w:t>
        </w:r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2.06</w:t>
        </w:r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.2002</w:t>
        </w:r>
      </w:hyperlink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  <w:u w:val="none"/>
        </w:rPr>
        <w:t xml:space="preserve">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№ 67-ФЗ «</w:t>
      </w:r>
      <w:r>
        <w:rPr>
          <w:rFonts w:ascii="PT Astra Serif" w:hAnsi="PT Astra Serif" w:cs="PT Astra Serif" w:eastAsia="PT Astra Serif"/>
          <w:sz w:val="28"/>
        </w:rPr>
        <w:t xml:space="preserve">Об основных гарантиях избират</w:t>
      </w:r>
      <w:r>
        <w:rPr>
          <w:rFonts w:ascii="PT Astra Serif" w:hAnsi="PT Astra Serif" w:cs="PT Astra Serif" w:eastAsia="PT Astra Serif"/>
          <w:sz w:val="28"/>
        </w:rPr>
        <w:t xml:space="preserve">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Грайворонская территориальная избирательная комиссия обязана в пределах своей компетенции рассматривать поступившие в комиссию в период избирательной кампании, кампании референдума обращения о нарушении закона, проводить про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о. Если факты, содержащиеся в обращениях, требуют дополнительной проверки, решения по ним принимаются не позднее, чем в десятидневный срок. Если обращение указывает на нарушение закона кандидатом, избирательным объединением, инициативной группой по проведе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нию референдума, то кандидат, избирательное объединение, инициативная группа по проведению референдума или его (ее)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15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ab/>
        <w:t xml:space="preserve">Согласно ч.1 ст. 12 Федерального закона от</w:t>
      </w:r>
      <w:r>
        <w:rPr>
          <w:rFonts w:ascii="PT Astra Serif" w:hAnsi="PT Astra Serif" w:cs="PT Astra Serif" w:eastAsia="PT Astra Serif"/>
          <w:color w:val="000000" w:themeColor="text1"/>
          <w:sz w:val="28"/>
          <w:u w:val="none"/>
        </w:rPr>
        <w:t xml:space="preserve"> </w:t>
      </w:r>
      <w:hyperlink r:id="rId17" w:tooltip="http://02.05.2006" w:history="1">
        <w:r>
          <w:rPr>
            <w:rStyle w:val="794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02.05.2006</w:t>
        </w:r>
      </w:hyperlink>
      <w:r>
        <w:rPr>
          <w:rFonts w:ascii="PT Astra Serif" w:hAnsi="PT Astra Serif" w:cs="PT Astra Serif" w:eastAsia="PT Astra Serif"/>
          <w:color w:val="000000" w:themeColor="text1"/>
          <w:sz w:val="28"/>
          <w:u w:val="none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 № 59-ФЗ «О порядке рассм</w:t>
      </w:r>
      <w:r>
        <w:rPr>
          <w:rFonts w:ascii="PT Astra Serif" w:hAnsi="PT Astra Serif" w:cs="PT Astra Serif" w:eastAsia="PT Astra Serif"/>
          <w:sz w:val="28"/>
        </w:rPr>
        <w:t xml:space="preserve">отрения обращений граждан Российской Федерации» письменное обращение, поступившее в Грайворонскую территориальную избирательную комиссию в соответствии компетенцией комиссии, будет рассматриваться в течение 30 дней со дня регистрации письменного обращения.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/>
    </w:p>
    <w:p>
      <w:pPr>
        <w:pStyle w:val="822"/>
        <w:spacing w:lineRule="auto" w:line="240" w:after="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lang w:val="ru-RU"/>
        </w:rPr>
        <w:t xml:space="preserve">2. Направить настоящее постановление в Прокуратуру Грайворонского района.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3. Разместить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4. Контроль </w:t>
      </w:r>
      <w:r>
        <w:rPr>
          <w:rFonts w:ascii="PT Astra Serif" w:hAnsi="PT Astra Serif" w:cs="PT Astra Serif" w:eastAsia="PT Astra Serif"/>
          <w:sz w:val="28"/>
        </w:rPr>
        <w:t xml:space="preserve">за выполнением настоящего постановления возложить на председателя Грайворонской территориальной избирательной комиссии С.В. Краснокутского.</w:t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5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  <w:style w:type="character" w:styleId="818">
    <w:name w:val="Основной текст Знак1"/>
    <w:rPr>
      <w:rFonts w:ascii="Arial" w:hAnsi="Arial" w:cs="Arial" w:eastAsia="Arial"/>
      <w:sz w:val="18"/>
    </w:rPr>
  </w:style>
  <w:style w:type="paragraph" w:styleId="819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0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3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09.02.2023" TargetMode="External"/><Relationship Id="rId12" Type="http://schemas.openxmlformats.org/officeDocument/2006/relationships/hyperlink" Target="http://12.06.2002" TargetMode="External"/><Relationship Id="rId13" Type="http://schemas.openxmlformats.org/officeDocument/2006/relationships/hyperlink" Target="http://&#1089;&#1090;.12" TargetMode="External"/><Relationship Id="rId14" Type="http://schemas.openxmlformats.org/officeDocument/2006/relationships/hyperlink" Target="http://02.05.2006" TargetMode="External"/><Relationship Id="rId15" Type="http://schemas.openxmlformats.org/officeDocument/2006/relationships/hyperlink" Target="http://09.02.2023" TargetMode="External"/><Relationship Id="rId16" Type="http://schemas.openxmlformats.org/officeDocument/2006/relationships/hyperlink" Target="http://12.06.2002" TargetMode="External"/><Relationship Id="rId17" Type="http://schemas.openxmlformats.org/officeDocument/2006/relationships/hyperlink" Target="http://02.05.20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2023-04-06T11:35:43Z</dcterms:modified>
</cp:coreProperties>
</file>