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8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>
        <w:rPr>
          <w:rFonts w:ascii="ptastraserif" w:hAnsi="ptastraserif" w:cs="ptastraserif" w:eastAsia="ptastraserif"/>
        </w:rPr>
      </w:r>
      <w:r/>
    </w:p>
    <w:p>
      <w:pPr>
        <w:pStyle w:val="828"/>
        <w:ind w:firstLine="0"/>
        <w:jc w:val="left"/>
        <w:rPr>
          <w:rFonts w:ascii="ptastraserif" w:hAnsi="ptastraserif" w:cs="ptastraserif" w:eastAsia="ptastraserif"/>
          <w:sz w:val="24"/>
          <w:szCs w:val="24"/>
        </w:rPr>
      </w:pPr>
      <w:r>
        <w:rPr>
          <w:rFonts w:ascii="ptastraserif" w:hAnsi="ptastraserif" w:cs="ptastraserif" w:eastAsia="ptastraserif"/>
          <w:sz w:val="24"/>
          <w:szCs w:val="24"/>
        </w:rPr>
      </w:r>
      <w:r>
        <w:rPr>
          <w:rFonts w:ascii="ptastraserif" w:hAnsi="ptastraserif" w:cs="ptastraserif" w:eastAsia="ptastraserif"/>
          <w:sz w:val="24"/>
          <w:szCs w:val="24"/>
        </w:rPr>
      </w:r>
      <w:r/>
    </w:p>
    <w:p>
      <w:pPr>
        <w:pStyle w:val="828"/>
        <w:ind w:firstLine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  <w:t xml:space="preserve">ГРАЙВОРОНСКАЯ ТЕРРИТОРИАЛЬНАЯ ИЗБИРАТЕЛЬНАЯ КОМИССИЯ</w:t>
      </w:r>
      <w:r>
        <w:rPr>
          <w:rFonts w:ascii="ptastraserif" w:hAnsi="ptastraserif" w:cs="ptastraserif" w:eastAsia="ptastraserif"/>
          <w:lang w:val="ru-RU"/>
        </w:rPr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18 мая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16/60-1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Об определении избирательных участков, на которых будут использоваться материалы, выполненные крупным шрифтом, и (или) специальные трафареты для самостоятельного заполнения избирательных бюллетеней в помощь избирателям, являющимся инвалидами по зрению, на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выборах депутатов Совета депутатов Грайворонского городского округа второго созыва в 2023 году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</w:tc>
      </w:tr>
    </w:tbl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ind w:firstLine="70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В соответствии с частью 21 статьи 73 Избирательного кодекса Белгородской области, на основании плана мероприятий Грайворонской территориальной избирательной комиссии по обеспечению прав граждан Российской Федерации, проживающих на территории Грайворонского г</w:t>
      </w:r>
      <w:r>
        <w:rPr>
          <w:rFonts w:ascii="PT Astra Serif" w:hAnsi="PT Astra Serif" w:cs="PT Astra Serif" w:eastAsia="PT Astra Serif"/>
          <w:sz w:val="28"/>
        </w:rPr>
        <w:t xml:space="preserve">ородского округа, являющихся инвалидами при проведении выборов депутатов Совета депутатов Грайворонского городского округа второго созыва в 2023 году, утверждённого постановлением Грайворонской ТИК от 18 мая 2023 года №16/59-1, с целью оказания помощи из</w:t>
      </w:r>
      <w:r>
        <w:rPr>
          <w:rFonts w:ascii="PT Astra Serif" w:hAnsi="PT Astra Serif" w:cs="PT Astra Serif" w:eastAsia="PT Astra Serif"/>
          <w:sz w:val="28"/>
        </w:rPr>
        <w:t xml:space="preserve">бирателям, являющимся инвалидами по зрению,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19"/>
        <w:ind w:firstLine="70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1. Утвердить перечень избирательных участков, на которых будут использоваться материалы, выполненные крупным шрифтом, и (или) специальные трафареты (в том числе с применением рельефно-точечного шрифта Брайля) для самостоятельного заполнения избирательных б</w:t>
      </w:r>
      <w:r>
        <w:rPr>
          <w:rFonts w:ascii="PT Astra Serif" w:hAnsi="PT Astra Serif" w:cs="PT Astra Serif" w:eastAsia="PT Astra Serif"/>
          <w:sz w:val="28"/>
        </w:rPr>
        <w:t xml:space="preserve">юллетеней избирателями, являющимися инвалидами по зрению, на выборах депутатов Совета депутатов Грайворонского городского округа второго созыва в единый день голосования 10 сентября 2023 года (прилагается). </w:t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19"/>
        <w:ind w:firstLine="70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 Направить настоящее постановление в Избирательну</w:t>
      </w:r>
      <w:r>
        <w:rPr>
          <w:rFonts w:ascii="PT Astra Serif" w:hAnsi="PT Astra Serif" w:cs="PT Astra Serif" w:eastAsia="PT Astra Serif"/>
          <w:sz w:val="28"/>
        </w:rPr>
        <w:t xml:space="preserve">ю комиссию Белгородской области и соответствующие участковые избирательные комиссии.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19"/>
        <w:ind w:firstLine="70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3. Разместить настоящее постановление на страницах Грайворонской территориальной избирательной комиссии официальных сайтов Избирательной комиссии Белгородской области и Администрации Грайворонского городского округа в информационно– телекомм</w:t>
      </w:r>
      <w:r>
        <w:rPr>
          <w:rFonts w:ascii="PT Astra Serif" w:hAnsi="PT Astra Serif" w:cs="PT Astra Serif" w:eastAsia="PT Astra Serif"/>
          <w:sz w:val="28"/>
        </w:rPr>
        <w:t xml:space="preserve">уникационной сети «Интернет». </w:t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19"/>
        <w:ind w:firstLine="70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4.Контроль за исполнением настоящего постановления возложить на секретаря Грайворонской территориальной избирательной комиссии Л.А. Угольникова.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19"/>
        <w:ind w:firstLine="700"/>
        <w:jc w:val="both"/>
        <w:rPr>
          <w:rFonts w:ascii="PT Astra Serif" w:hAnsi="PT Astra Serif" w:cs="PT Astra Serif" w:eastAsia="PT Astra Serif"/>
          <w:sz w:val="28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27"/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19"/>
        <w:jc w:val="right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</w:p>
    <w:p>
      <w:pPr>
        <w:pStyle w:val="819"/>
        <w:jc w:val="right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</w:rPr>
        <w:t xml:space="preserve">УТВЕРЖДЁН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постановлением Грайворонской ТИК</w:t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 от «18»мая 2023 года №16/60-1 </w:t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19"/>
        <w:jc w:val="both"/>
      </w:pPr>
      <w:r/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Перечень избирательных участков,</w:t>
      </w:r>
      <w:r>
        <w:rPr>
          <w:rFonts w:ascii="PT Astra Serif" w:hAnsi="PT Astra Serif" w:cs="PT Astra Serif" w:eastAsia="PT Astra Serif"/>
          <w:b/>
          <w:sz w:val="28"/>
        </w:rPr>
      </w:r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 на которых будут использоваться материалы, выполненные крупным шрифтом, и (или) специальные трафареты (в том числе с применением рельефн</w:t>
      </w:r>
      <w:r>
        <w:rPr>
          <w:rFonts w:ascii="PT Astra Serif" w:hAnsi="PT Astra Serif" w:cs="PT Astra Serif" w:eastAsia="PT Astra Serif"/>
          <w:b/>
          <w:sz w:val="28"/>
        </w:rPr>
        <w:t xml:space="preserve">о-точечного шрифта Брайля) для самостоятельного заполнения избирательных бюллетеней избирателями, являющимися инвалидами по зрению, на выборах депутатов Совета депутатов Грайворонского городского округа второго созыва в единый день голосования </w:t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10 сентября 2</w:t>
      </w:r>
      <w:r>
        <w:rPr>
          <w:rFonts w:ascii="PT Astra Serif" w:hAnsi="PT Astra Serif" w:cs="PT Astra Serif" w:eastAsia="PT Astra Serif"/>
          <w:b/>
          <w:sz w:val="28"/>
        </w:rPr>
        <w:t xml:space="preserve">023 года</w:t>
      </w: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highlight w:val="none"/>
        </w:rPr>
      </w:r>
    </w:p>
    <w:tbl>
      <w:tblPr>
        <w:tblStyle w:val="672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2339"/>
        <w:gridCol w:w="2339"/>
      </w:tblGrid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t xml:space="preserve">№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t xml:space="preserve">Номер и адрес избирательного участка</w:t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Количество трафаретов для заполнения избирательных бюллетеней </w:t>
            </w: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с прорезями</w:t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Количество трафаретов для заполнения избирательных бюллетеней </w:t>
            </w: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в т.ч. с вклейкой сведений о кандидатах, избирательных объединениях шрифтом по Брайлю</w:t>
            </w:r>
            <w:r>
              <w:rPr>
                <w:rFonts w:ascii="PT Astra Serif" w:hAnsi="PT Astra Serif" w:cs="PT Astra Serif" w:eastAsia="PT Astra Serif"/>
                <w:b/>
                <w:sz w:val="24"/>
              </w:rPr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19"/>
              <w:jc w:val="left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t xml:space="preserve">Избирательный участок № 483</w:t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</w:p>
          <w:p>
            <w:pPr>
              <w:pStyle w:val="819"/>
              <w:jc w:val="left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</w:p>
          <w:p>
            <w:pPr>
              <w:pStyle w:val="819"/>
              <w:jc w:val="left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Адрес: Грайворонский городской округ, г. Грайворон, ул. Горького, 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19"/>
              <w:jc w:val="left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  <w:t xml:space="preserve">Избирательный участок № 489</w:t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</w:p>
          <w:p>
            <w:pPr>
              <w:pStyle w:val="819"/>
              <w:jc w:val="left"/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/>
                <w:sz w:val="24"/>
                <w:highlight w:val="none"/>
              </w:rPr>
            </w:r>
          </w:p>
          <w:p>
            <w:pPr>
              <w:pStyle w:val="819"/>
              <w:jc w:val="left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Адрес:Грайворонский городской округ, с. Головчино, ул. Карла Маркса, 1в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</w:tr>
      <w:tr>
        <w:trPr/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Всего: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pStyle w:val="819"/>
              <w:jc w:val="center"/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</w:p>
        </w:tc>
      </w:tr>
    </w:tbl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highlight w:val="none"/>
        </w:rPr>
      </w:r>
    </w:p>
    <w:p>
      <w:pPr>
        <w:pStyle w:val="819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astraserif">
    <w:panose1 w:val="020A0603040505020204"/>
  </w:font>
  <w:font w:name="Symbol">
    <w:panose1 w:val="05010000000000000000"/>
  </w:font>
  <w:font w:name="Courier New">
    <w:panose1 w:val="020704090202050204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  <w:style w:type="character" w:styleId="822">
    <w:name w:val="Основной текст Знак1"/>
    <w:rPr>
      <w:rFonts w:ascii="Arial" w:hAnsi="Arial" w:cs="Arial" w:eastAsia="Arial"/>
      <w:sz w:val="18"/>
    </w:rPr>
  </w:style>
  <w:style w:type="paragraph" w:styleId="823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4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5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6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7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2023-05-16T12:17:06Z</dcterms:modified>
</cp:coreProperties>
</file>