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8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8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17/69-1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 рабочей гру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ппе по приему и проверке избирательных документов, представляемых кандидатами, уполномоченными представителями избирательных объединений в Грайворонскую территориальную избирательную комиссию при проведении выборов депутатов Совета депутатов Грайворонского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городского округа второго созыва в 2023 году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В </w:t>
      </w:r>
      <w:r>
        <w:rPr>
          <w:rFonts w:ascii="PT Astra Serif" w:hAnsi="PT Astra Serif" w:cs="PT Astra Serif" w:eastAsia="PT Astra Serif"/>
          <w:lang w:val="ru-RU"/>
        </w:rPr>
        <w:t xml:space="preserve">целях организации работы по приему документов, представляемых в Грайворонскую территориальную избирательную комиссию кандидатами, уполномоченными представителями избирательных объединений в Грайворонскую территориальную избирательную комиссию при проведени</w:t>
      </w:r>
      <w:r>
        <w:rPr>
          <w:rFonts w:ascii="PT Astra Serif" w:hAnsi="PT Astra Serif" w:cs="PT Astra Serif" w:eastAsia="PT Astra Serif"/>
          <w:lang w:val="ru-RU"/>
        </w:rPr>
        <w:t xml:space="preserve">и</w:t>
      </w:r>
      <w:r>
        <w:rPr>
          <w:rFonts w:ascii="PT Astra Serif" w:hAnsi="PT Astra Serif" w:cs="PT Astra Serif" w:eastAsia="PT Astra Serif"/>
          <w:lang w:val="ru-RU"/>
        </w:rPr>
        <w:t xml:space="preserve"> выборов депутатов Совета депутатов Грайворонского городского округа второго созыва в 2023 году, в соответствии со статьями 33, 38 Федерального закона от 12 июня 2002 года №67-ФЗ «Об основных гарантиях избирательных прав и права на участие в референдуме гр</w:t>
      </w:r>
      <w:r>
        <w:rPr>
          <w:rFonts w:ascii="PT Astra Serif" w:hAnsi="PT Astra Serif" w:cs="PT Astra Serif" w:eastAsia="PT Astra Serif"/>
          <w:lang w:val="ru-RU"/>
        </w:rPr>
        <w:t xml:space="preserve">аждан Российской Федерации», статьей 30 Избирательного кодекса Белгородской области, постановлением Центральной избирательной комиссии Российской Федерации от 11 июня 2014 года №235/1486-6 «О Методических рекомендациях по вопросам, связанным с выдвижением </w:t>
      </w:r>
      <w:r>
        <w:rPr>
          <w:rFonts w:ascii="PT Astra Serif" w:hAnsi="PT Astra Serif" w:cs="PT Astra Serif" w:eastAsia="PT Astra Serif"/>
          <w:lang w:val="ru-RU"/>
        </w:rPr>
        <w:t xml:space="preserve">и регистрацией кандидатов, списков кандидатов на выборах в органы государственной власти субъекта Российской Федерации и органы местного самоуправления»,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/>
          <w:lang w:val="ru-RU"/>
        </w:rPr>
        <w:t xml:space="preserve"> постановляет</w:t>
      </w:r>
      <w:r>
        <w:rPr>
          <w:rFonts w:ascii="PT Astra Serif" w:hAnsi="PT Astra Serif" w:cs="PT Astra Serif" w:eastAsia="PT Astra Serif"/>
          <w:lang w:val="ru-RU"/>
        </w:rPr>
        <w:t xml:space="preserve">: 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1. Образовать рабочую группу по прием</w:t>
      </w:r>
      <w:r>
        <w:rPr>
          <w:rFonts w:ascii="PT Astra Serif" w:hAnsi="PT Astra Serif" w:cs="PT Astra Serif" w:eastAsia="PT Astra Serif"/>
          <w:lang w:val="ru-RU"/>
        </w:rPr>
        <w:t xml:space="preserve">у </w:t>
      </w:r>
      <w:r>
        <w:rPr>
          <w:rFonts w:ascii="PT Astra Serif" w:hAnsi="PT Astra Serif" w:cs="PT Astra Serif" w:eastAsia="PT Astra Serif"/>
          <w:lang w:val="ru-RU"/>
        </w:rPr>
        <w:t xml:space="preserve">и проверке избирательных документов, представляемых кандидатами, уполномоченными представителями избирательных объединений в Грайворонскую территориальную избирательную комиссию при проведении выборов депутатов Совета депутатов Грайворонского городского ок</w:t>
      </w:r>
      <w:r>
        <w:rPr>
          <w:rFonts w:ascii="PT Astra Serif" w:hAnsi="PT Astra Serif" w:cs="PT Astra Serif" w:eastAsia="PT Astra Serif"/>
          <w:lang w:val="ru-RU"/>
        </w:rPr>
        <w:t xml:space="preserve">руга второго созыва в 2023 году, утвердить её состав (приложение 1). 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2. Утвердить положение о рабочей группе по приему и проверке избирательных документов, представляемых кандидатам</w:t>
      </w:r>
      <w:r>
        <w:rPr>
          <w:rFonts w:ascii="PT Astra Serif" w:hAnsi="PT Astra Serif" w:cs="PT Astra Serif" w:eastAsia="PT Astra Serif"/>
          <w:lang w:val="ru-RU"/>
        </w:rPr>
        <w:t xml:space="preserve">и </w:t>
      </w:r>
      <w:r>
        <w:rPr>
          <w:rFonts w:ascii="PT Astra Serif" w:hAnsi="PT Astra Serif" w:cs="PT Astra Serif" w:eastAsia="PT Astra Serif"/>
          <w:lang w:val="ru-RU"/>
        </w:rPr>
        <w:t xml:space="preserve">уп</w:t>
      </w:r>
      <w:r>
        <w:rPr>
          <w:rFonts w:ascii="PT Astra Serif" w:hAnsi="PT Astra Serif" w:cs="PT Astra Serif" w:eastAsia="PT Astra Serif"/>
          <w:lang w:val="ru-RU"/>
        </w:rPr>
        <w:t xml:space="preserve">олномоченными представителями избирательных объединений в Грайворонскую территориальную избирательную комиссию при проведении выборов депутатов Совета депутатов Грайворонского городского округа второго созыва в 2023 году (далее - рабочая группа по приему и</w:t>
      </w:r>
      <w:r>
        <w:rPr>
          <w:rFonts w:ascii="PT Astra Serif" w:hAnsi="PT Astra Serif" w:cs="PT Astra Serif" w:eastAsia="PT Astra Serif"/>
          <w:lang w:val="ru-RU"/>
        </w:rPr>
        <w:t xml:space="preserve"> проверке документов) (приложение 2).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  <w:highlight w:val="none"/>
          <w:lang w:val="ru-RU"/>
        </w:rPr>
      </w:pPr>
      <w:r>
        <w:rPr>
          <w:rFonts w:ascii="PT Astra Serif" w:hAnsi="PT Astra Serif" w:cs="PT Astra Serif" w:eastAsia="PT Astra Serif"/>
          <w:lang w:val="ru-RU"/>
        </w:rPr>
        <w:t xml:space="preserve">3. Утвердить для членов рабочей группы по приему и проверке документов режим работы: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0" w:firstLine="0"/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highlight w:val="none"/>
          <w:lang w:val="ru-RU"/>
        </w:rPr>
        <w:tab/>
        <w:t xml:space="preserve"> -</w:t>
      </w:r>
      <w:r>
        <w:rPr>
          <w:rFonts w:ascii="PT Astra Serif" w:hAnsi="PT Astra Serif" w:cs="PT Astra Serif" w:eastAsia="PT Astra Serif"/>
          <w:b/>
          <w:highlight w:val="none"/>
          <w:lang w:val="ru-RU"/>
        </w:rPr>
        <w:t xml:space="preserve">  с 16 июня 2023 года  по 05 июля 2023 года до </w:t>
      </w:r>
      <w:hyperlink r:id="rId11" w:tooltip="http://18.00" w:history="1">
        <w:r>
          <w:rPr>
            <w:rStyle w:val="798"/>
            <w:rFonts w:ascii="PT Astra Serif" w:hAnsi="PT Astra Serif" w:cs="PT Astra Serif" w:eastAsia="PT Astra Serif"/>
            <w:b/>
            <w:color w:val="000000" w:themeColor="text1"/>
            <w:highlight w:val="none"/>
            <w:u w:val="none"/>
            <w:lang w:val="ru-RU"/>
          </w:rPr>
          <w:t xml:space="preserve">18.00</w:t>
        </w:r>
      </w:hyperlink>
      <w:r>
        <w:rPr>
          <w:rFonts w:ascii="PT Astra Serif" w:hAnsi="PT Astra Serif" w:cs="PT Astra Serif" w:eastAsia="PT Astra Serif"/>
          <w:b/>
          <w:color w:val="000000" w:themeColor="text1"/>
          <w:highlight w:val="none"/>
          <w:u w:val="none"/>
          <w:lang w:val="ru-RU"/>
        </w:rPr>
        <w:t xml:space="preserve"> </w:t>
      </w:r>
      <w:r>
        <w:rPr>
          <w:rFonts w:ascii="PT Astra Serif" w:hAnsi="PT Astra Serif" w:cs="PT Astra Serif" w:eastAsia="PT Astra Serif"/>
          <w:b/>
          <w:highlight w:val="none"/>
          <w:lang w:val="ru-RU"/>
        </w:rPr>
        <w:t xml:space="preserve">ч;</w:t>
      </w:r>
      <w:r>
        <w:rPr>
          <w:rFonts w:ascii="PT Astra Serif" w:hAnsi="PT Astra Serif" w:cs="PT Astra Serif" w:eastAsia="PT Astra Serif"/>
          <w:b/>
          <w:highlight w:val="none"/>
          <w:lang w:val="ru-RU"/>
        </w:rPr>
      </w:r>
      <w:r>
        <w:rPr>
          <w:rFonts w:ascii="PT Astra Serif" w:hAnsi="PT Astra Serif" w:cs="PT Astra Serif" w:eastAsia="PT Astra Serif"/>
          <w:b/>
          <w:highlight w:val="none"/>
          <w:lang w:val="ru-RU"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lang w:val="ru-RU"/>
        </w:rPr>
        <w:t xml:space="preserve"> - с 8.00 часов до 17.00 часов перерыв с 12.00 часов до 13.00 часов - в рабочие дни;</w:t>
      </w:r>
      <w:r>
        <w:rPr>
          <w:rFonts w:ascii="PT Astra Serif" w:hAnsi="PT Astra Serif" w:cs="PT Astra Serif" w:eastAsia="PT Astra Serif"/>
          <w:b/>
        </w:rPr>
      </w:r>
      <w:r>
        <w:rPr>
          <w:b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b/>
          <w:lang w:val="ru-RU"/>
        </w:rPr>
        <w:t xml:space="preserve"> - с 10.00 часов до 14.00 часов без перерыва - в вы</w:t>
      </w:r>
      <w:r>
        <w:rPr>
          <w:rFonts w:ascii="PT Astra Serif" w:hAnsi="PT Astra Serif" w:cs="PT Astra Serif" w:eastAsia="PT Astra Serif"/>
          <w:b/>
          <w:lang w:val="ru-RU"/>
        </w:rPr>
        <w:t xml:space="preserve">ходные и праздничные дни</w:t>
      </w:r>
      <w:r>
        <w:rPr>
          <w:rFonts w:ascii="PT Astra Serif" w:hAnsi="PT Astra Serif" w:cs="PT Astra Serif" w:eastAsia="PT Astra Serif"/>
          <w:b/>
          <w:lang w:val="ru-RU"/>
        </w:rPr>
        <w:t xml:space="preserve">.</w:t>
      </w:r>
      <w:r>
        <w:rPr>
          <w:rFonts w:ascii="PT Astra Serif" w:hAnsi="PT Astra Serif" w:cs="PT Astra Serif" w:eastAsia="PT Astra Serif"/>
          <w:b/>
        </w:rPr>
      </w:r>
      <w:r>
        <w:rPr>
          <w:b/>
        </w:rPr>
      </w:r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4. </w:t>
      </w:r>
      <w:r>
        <w:rPr>
          <w:rFonts w:ascii="PT Astra Serif" w:hAnsi="PT Astra Serif" w:cs="PT Astra Serif" w:eastAsia="PT Astra Serif"/>
          <w:lang w:val="ru-RU"/>
        </w:rPr>
        <w:t xml:space="preserve">Предложить кандидатам, уполномоченным представителям избирательных объединений на выборах депутатов Совета депутатов Грайворонского городского округа второго созыва заблаговременно информировать Грайворонскую территориальную избирательную комиссию о дате и</w:t>
      </w:r>
      <w:r>
        <w:rPr>
          <w:rFonts w:ascii="PT Astra Serif" w:hAnsi="PT Astra Serif" w:cs="PT Astra Serif" w:eastAsia="PT Astra Serif"/>
          <w:lang w:val="ru-RU"/>
        </w:rPr>
        <w:t xml:space="preserve"> времени представления документов при выдвижении для заверения и для регистрации списков кандидатов в депутаты. 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5. Разместить настоящее </w:t>
      </w:r>
      <w:r>
        <w:rPr>
          <w:rFonts w:ascii="PT Astra Serif" w:hAnsi="PT Astra Serif" w:cs="PT Astra Serif" w:eastAsia="PT Astra Serif"/>
          <w:sz w:val="28"/>
          <w:lang w:val="ru-RU"/>
        </w:rPr>
        <w:t xml:space="preserve">постановление на странице Грайворонской территориальной избирательной комиссии официальных сайтов Избирательной комиссии Белгородской области и Администрации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Грайворонского городского округа в информационно– телекоммуникационной сети «Интернет».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8"/>
        <w:spacing w:after="0" w:before="0"/>
        <w:rPr>
          <w:rFonts w:ascii="PT Astra Serif" w:hAnsi="PT Astra Serif" w:cs="PT Astra Serif" w:eastAsia="PT Astra Seri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6. Контроль за исполнением насто</w:t>
      </w:r>
      <w:r>
        <w:rPr>
          <w:rFonts w:ascii="PT Astra Serif" w:hAnsi="PT Astra Serif" w:cs="PT Astra Serif" w:eastAsia="PT Astra Serif"/>
          <w:sz w:val="28"/>
        </w:rPr>
        <w:t xml:space="preserve">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Приложение 1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УТВЕРЖДЕН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постановлением Грайворонской ТИК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 от 01 июня 2023 года №17/69-1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Состав рабочей группы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 приему и проверке избирательных документов,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представляемых кандидатами, уполномоченными представителями избирательных объединений в Грайворонскую</w:t>
      </w:r>
      <w:r>
        <w:rPr>
          <w:rFonts w:ascii="PT Astra Serif" w:hAnsi="PT Astra Serif" w:cs="PT Astra Serif" w:eastAsia="PT Astra Serif"/>
          <w:b/>
          <w:sz w:val="28"/>
        </w:rPr>
        <w:t xml:space="preserve"> территориальную избирательную комиссию при проведении выборов депутатов Совета депутатов Грайворонского городского округа второго созыва в 2023году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hanging="4819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Краснокутский Сергей Викторович - председатель Грайворонской ТИК, руководитель рабочей группы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961" w:right="0" w:hanging="4961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961" w:right="0" w:hanging="4961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Леденёв Евгений Александрович          - заместитель председателя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3118" w:right="0" w:firstLine="1701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Грайворонской ТИК,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firstLine="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заместитель руководителя рабочей группы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Угольникова Лариса Анатольевна        - секретарь Грайворонской ТИК,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firstLine="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екретарь рабочей группы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Члены рабочей группы по приему и проверке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hanging="4819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Полякова Ирина Анатольевна         - член Грайворонской ТИК с правом решающего голоса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677" w:right="0" w:hanging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hanging="4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Горбань Сергей Николаевич        - член Грайворонской ТИК с правом решающего голоса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4819" w:right="0" w:hanging="4819"/>
        <w:jc w:val="both"/>
        <w:tabs>
          <w:tab w:val="left" w:pos="4961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Сухобокова Людмила Павловна</w:t>
      </w:r>
      <w:r>
        <w:rPr>
          <w:rFonts w:ascii="PT Astra Serif" w:hAnsi="PT Astra Serif" w:cs="PT Astra Serif" w:eastAsia="PT Astra Serif"/>
          <w:sz w:val="28"/>
        </w:rPr>
        <w:t xml:space="preserve">   - </w:t>
      </w:r>
      <w:r>
        <w:rPr>
          <w:rFonts w:ascii="PT Astra Serif" w:hAnsi="PT Astra Serif" w:cs="PT Astra Serif" w:eastAsia="PT Astra Serif"/>
          <w:sz w:val="28"/>
        </w:rPr>
        <w:t xml:space="preserve">член Грайворонской ТИК с правом решающего голоса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Крамской Владимир Иванович             - системный администратор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Грайворонской ТИК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right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Приложение 2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6094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постановлением Грайворонской ТИК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center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от 01 июня 2023 года №17/69-1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46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Положение о рабочей группе по приему и проверке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0" w:firstLine="0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избирательных документов, представляемых кандидатами, уполномоченными представителями избирательных объединений в Грайворонскую</w:t>
      </w:r>
      <w:r>
        <w:rPr>
          <w:rFonts w:ascii="PT Astra Serif" w:hAnsi="PT Astra Serif" w:cs="PT Astra Serif" w:eastAsia="PT Astra Serif"/>
          <w:b/>
          <w:sz w:val="28"/>
        </w:rPr>
        <w:t xml:space="preserve"> территориальную избирательную комиссию при проведении выборов депутатов Совета депутатов Грайворонского городского округа второго созыва в 2023 год</w:t>
      </w:r>
      <w:r>
        <w:rPr>
          <w:rFonts w:ascii="PT Astra Serif" w:hAnsi="PT Astra Serif" w:cs="PT Astra Serif" w:eastAsia="PT Astra Serif"/>
          <w:sz w:val="28"/>
        </w:rPr>
        <w:t xml:space="preserve">у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1. Общие положения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1.1. Рабочая группа по приему и проверке избирательных документов, представляемых кандидатами, уполномоченными представителями избирательных объединений в Грайворонскую территориальную избирательную комиссию при проведении выборов депутат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в Совета депутатов Грайворонского городского округа второго созыва (далее – рабочая группа по приему и проверке документов, рабочая группа) в своей деятельности руководствуется федеральными законами от 12 июня 2002 года № 67-ФЗ «Об основных гарантиях избир</w:t>
      </w:r>
      <w:r>
        <w:rPr>
          <w:rFonts w:ascii="PT Astra Serif" w:hAnsi="PT Astra Serif" w:cs="PT Astra Serif" w:eastAsia="PT Astra Serif"/>
          <w:sz w:val="28"/>
        </w:rPr>
        <w:t xml:space="preserve">ательных прав и права на участие в референдуме граждан Российской Федерации» (далее – Федеральный закон), от 27 июля 2006 года № 152-ФЗ «О персональных данных», от 10 января 2003 года № 20-ФЗ «О Государственной автоматизированной системе Российской Федерац</w:t>
      </w:r>
      <w:r>
        <w:rPr>
          <w:rFonts w:ascii="PT Astra Serif" w:hAnsi="PT Astra Serif" w:cs="PT Astra Serif" w:eastAsia="PT Astra Serif"/>
          <w:sz w:val="28"/>
        </w:rPr>
        <w:t xml:space="preserve">ии «Выборы», Избирательным кодексом Белгородской области (далее – Избирательный кодекс), нормативными правовыми актами Центральной избирательной комиссии Российской Федерации, постановлением Грайворонской территориальной избирательной комиссии от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01 июня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2</w:t>
      </w:r>
      <w:r>
        <w:rPr>
          <w:rFonts w:ascii="PT Astra Serif" w:hAnsi="PT Astra Serif" w:cs="PT Astra Serif" w:eastAsia="PT Astra Serif"/>
          <w:sz w:val="28"/>
          <w:highlight w:val="white"/>
        </w:rPr>
        <w:t xml:space="preserve">023 года</w:t>
      </w:r>
      <w:r>
        <w:rPr>
          <w:rFonts w:ascii="PT Astra Serif" w:hAnsi="PT Astra Serif" w:cs="PT Astra Serif" w:eastAsia="PT Astra Serif"/>
          <w:sz w:val="28"/>
          <w:highlight w:val="white"/>
          <w:shd w:val="clear" w:fill="FFFFFF" w:color="FFFFFF" w:themeFill="background1"/>
        </w:rPr>
        <w:t xml:space="preserve"> № 17/68-1 </w:t>
      </w:r>
      <w:r>
        <w:rPr>
          <w:rFonts w:ascii="PT Astra Serif" w:hAnsi="PT Astra Serif" w:cs="PT Astra Serif" w:eastAsia="PT Astra Serif"/>
          <w:sz w:val="28"/>
          <w:highlight w:val="white"/>
        </w:rPr>
        <w:t xml:space="preserve">«О Перечне и формах документов, представляемых кандидатами, избирательными объединениями в Грайворонскую территориальную избирательную комиссию при проведении выборов депутатов Совета депутатов Грайворонского городского округа второго созыв</w:t>
      </w:r>
      <w:r>
        <w:rPr>
          <w:rFonts w:ascii="PT Astra Serif" w:hAnsi="PT Astra Serif" w:cs="PT Astra Serif" w:eastAsia="PT Astra Serif"/>
          <w:sz w:val="28"/>
          <w:highlight w:val="white"/>
        </w:rPr>
        <w:t xml:space="preserve">а</w:t>
      </w:r>
      <w:r>
        <w:rPr>
          <w:rFonts w:ascii="PT Astra Serif" w:hAnsi="PT Astra Serif" w:cs="PT Astra Serif" w:eastAsia="PT Astra Serif"/>
          <w:sz w:val="28"/>
          <w:highlight w:val="white"/>
        </w:rPr>
        <w:t xml:space="preserve">»,</w:t>
      </w:r>
      <w:r>
        <w:rPr>
          <w:rFonts w:ascii="PT Astra Serif" w:hAnsi="PT Astra Serif" w:cs="PT Astra Serif" w:eastAsia="PT Astra Serif"/>
          <w:sz w:val="28"/>
        </w:rPr>
        <w:t xml:space="preserve"> иными правовыми актами Грайворонской территориальной избирательной комиссии, настоящим Положением.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1.2. Состав рабочей группы по приему и проверке избирательных документов, представляемых кандидатами, уполномоченными представителями избирательных объеди</w:t>
      </w:r>
      <w:r>
        <w:rPr>
          <w:rFonts w:ascii="PT Astra Serif" w:hAnsi="PT Astra Serif" w:cs="PT Astra Serif" w:eastAsia="PT Astra Serif"/>
          <w:sz w:val="28"/>
        </w:rPr>
        <w:t xml:space="preserve">нений в Грайворонскую территориальную избирательную комиссию при проведении выборов депутатов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</w:rPr>
        <w:t xml:space="preserve">(далее – рабочая группа по приему и проверке документов) утверждается постановлением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yellow"/>
        </w:rPr>
      </w:r>
      <w:r>
        <w:rPr>
          <w:rFonts w:ascii="PT Astra Serif" w:hAnsi="PT Astra Serif" w:cs="PT Astra Serif" w:eastAsia="PT Astra Serif"/>
          <w:sz w:val="28"/>
        </w:rPr>
        <w:t xml:space="preserve">1.3. Рабочая группа по приему и проверке документов в своей деятельности может использовать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</w:t>
      </w:r>
      <w:r>
        <w:rPr>
          <w:rFonts w:ascii="PT Astra Serif" w:hAnsi="PT Astra Serif" w:cs="PT Astra Serif" w:eastAsia="PT Astra Serif"/>
          <w:sz w:val="28"/>
        </w:rPr>
        <w:t xml:space="preserve">ы»).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1.4. Рабочая группа по приему и проверке документов организует работу по приему и проверке избирательных документов, представляемых уполномоченными представителями избирательных объединений в Грайворонскую территориальную избирательную комиссию. По рез</w:t>
      </w:r>
      <w:r>
        <w:rPr>
          <w:rFonts w:ascii="PT Astra Serif" w:hAnsi="PT Astra Serif" w:cs="PT Astra Serif" w:eastAsia="PT Astra Serif"/>
          <w:sz w:val="28"/>
        </w:rPr>
        <w:t xml:space="preserve">у</w:t>
      </w:r>
      <w:r>
        <w:rPr>
          <w:rFonts w:ascii="PT Astra Serif" w:hAnsi="PT Astra Serif" w:cs="PT Astra Serif" w:eastAsia="PT Astra Serif"/>
          <w:sz w:val="28"/>
        </w:rPr>
        <w:t xml:space="preserve">льтатам работы рабочей группы по приему и проверке представленных избирательных документов готовятся и вносятся на рассмотрение Грайворонской территориальной избирательной комиссии проекты постановлений о заверении либо об отказе в заверении единых списков</w:t>
      </w:r>
      <w:r>
        <w:rPr>
          <w:rFonts w:ascii="PT Astra Serif" w:hAnsi="PT Astra Serif" w:cs="PT Astra Serif" w:eastAsia="PT Astra Serif"/>
          <w:sz w:val="28"/>
        </w:rPr>
        <w:t xml:space="preserve"> к</w:t>
      </w:r>
      <w:r>
        <w:rPr>
          <w:rFonts w:ascii="PT Astra Serif" w:hAnsi="PT Astra Serif" w:cs="PT Astra Serif" w:eastAsia="PT Astra Serif"/>
          <w:sz w:val="28"/>
        </w:rPr>
        <w:t xml:space="preserve">андидатов в депутаты Совета депутатов Грайворонского городского округа второго созыва, списков кандидатов по одномандатным избирательным округам, о регистрации единых списков кандидатов в депутаты в депутаты Совета депутатов Грайворонского городского округ</w:t>
      </w:r>
      <w:r>
        <w:rPr>
          <w:rFonts w:ascii="PT Astra Serif" w:hAnsi="PT Astra Serif" w:cs="PT Astra Serif" w:eastAsia="PT Astra Serif"/>
          <w:sz w:val="28"/>
        </w:rPr>
        <w:t xml:space="preserve">а второго созыва, либо об отказе в их регистрации, а также по другим вопросам, связанным с избирательными действиями, предусмотренными Избирательным кодексом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</w:rPr>
        <w:t xml:space="preserve">. Задачи и функции рабочей группы по приему и проверке документов </w:t>
      </w:r>
      <w:r>
        <w:rPr>
          <w:rFonts w:ascii="PT Astra Serif" w:hAnsi="PT Astra Serif" w:cs="PT Astra Serif" w:eastAsia="PT Astra Serif"/>
          <w:sz w:val="28"/>
        </w:rPr>
        <w:tab/>
        <w:t xml:space="preserve">2.1. Задачами рабочей группы по приему и проверке документов являются прием единых списков кандидатов, списков кандидатов по одномандатным избирательным округам и иных документов, представл</w:t>
      </w:r>
      <w:r>
        <w:rPr>
          <w:rFonts w:ascii="PT Astra Serif" w:hAnsi="PT Astra Serif" w:cs="PT Astra Serif" w:eastAsia="PT Astra Serif"/>
          <w:sz w:val="28"/>
        </w:rPr>
        <w:t xml:space="preserve">ен</w:t>
      </w:r>
      <w:r>
        <w:rPr>
          <w:rFonts w:ascii="PT Astra Serif" w:hAnsi="PT Astra Serif" w:cs="PT Astra Serif" w:eastAsia="PT Astra Serif"/>
          <w:sz w:val="28"/>
        </w:rPr>
        <w:t xml:space="preserve">ных уполномоченными представителями избирательных объединений в Грайворонскую территориальную избирательную комиссию, проверка их соответствия требованиям Избирательного кодекса, подготовка соответствующих проектов постановлений Грайворонской территориальн</w:t>
      </w:r>
      <w:r>
        <w:rPr>
          <w:rFonts w:ascii="PT Astra Serif" w:hAnsi="PT Astra Serif" w:cs="PT Astra Serif" w:eastAsia="PT Astra Serif"/>
          <w:sz w:val="28"/>
        </w:rPr>
        <w:t xml:space="preserve">ой избирательной комиссии.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2.2. Для решения задач, указанных в пункте 2.1 настоящего Положения, рабочая группа по приему и проверке документов: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yellow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.2.1. Принимает представляемые в Грайворонскую территориальную избирательную комиссию документы для заверения единых списков кандидатов, списков кандидатов по одномандатным избирательным округам, проверяет наличие документов, представленных в соответствии </w:t>
      </w:r>
      <w:r>
        <w:rPr>
          <w:rFonts w:ascii="PT Astra Serif" w:hAnsi="PT Astra Serif" w:cs="PT Astra Serif" w:eastAsia="PT Astra Serif"/>
          <w:sz w:val="28"/>
        </w:rPr>
        <w:t xml:space="preserve">с требованиями Избирательного кодекса на бумажном носителе и в машиночитаемом виде, полноту и достоверность сведений, содержащихся в представленных документах и выдает уполномоченному представителю избирательного объединения документ, подтверждающий прием </w:t>
      </w:r>
      <w:r>
        <w:rPr>
          <w:rFonts w:ascii="PT Astra Serif" w:hAnsi="PT Astra Serif" w:cs="PT Astra Serif" w:eastAsia="PT Astra Serif"/>
          <w:sz w:val="28"/>
        </w:rPr>
        <w:t xml:space="preserve">представленных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2.2.2. Принимает от уполномоченных представителей избирательных объединений подписные листы с подписями избирателей в поддержку выдвижения списков кандидатов и иных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2.2.3. Проверяет соблюдение порядка сбора подписей избирателей и оформления под</w:t>
      </w:r>
      <w:r>
        <w:rPr>
          <w:rFonts w:ascii="PT Astra Serif" w:hAnsi="PT Astra Serif" w:cs="PT Astra Serif" w:eastAsia="PT Astra Serif"/>
          <w:sz w:val="28"/>
        </w:rPr>
        <w:t xml:space="preserve">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2.2.4. Передает уполномоченному представителю из</w:t>
      </w:r>
      <w:r>
        <w:rPr>
          <w:rFonts w:ascii="PT Astra Serif" w:hAnsi="PT Astra Serif" w:cs="PT Astra Serif" w:eastAsia="PT Astra Serif"/>
          <w:sz w:val="28"/>
        </w:rPr>
        <w:t xml:space="preserve">бирательного объединения копию итогового протокола проверки подписных листов не позднее, чем за двое суток до заседания Грайворонской территориальной избирательной комиссии, на котором должен рассматриваться вопрос о регистрации единого списка кандидатов.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.2.5. Проверяет достоверность сведений о кандидатах, включенных избирательными объединениями в списки кандидатов в депутаты Совета депутатов Грайворонского городского округа второго созыва.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2.2.6. Принимает документы, необходимые для регистрации уполномочен</w:t>
      </w:r>
      <w:r>
        <w:rPr>
          <w:rFonts w:ascii="PT Astra Serif" w:hAnsi="PT Astra Serif" w:cs="PT Astra Serif" w:eastAsia="PT Astra Serif"/>
          <w:sz w:val="28"/>
        </w:rPr>
        <w:t xml:space="preserve">ных представителей избирательных объединений, уполномоченных представителей избирательных объединений по финансовым вопросам, доверенных лиц избирательных объединений.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2.2.7. Принимает документы, необходимые для выдачи удостоверений зарегистрированным канд</w:t>
      </w:r>
      <w:r>
        <w:rPr>
          <w:rFonts w:ascii="PT Astra Serif" w:hAnsi="PT Astra Serif" w:cs="PT Astra Serif" w:eastAsia="PT Astra Serif"/>
          <w:sz w:val="28"/>
        </w:rPr>
        <w:t xml:space="preserve">идатам, включенным в зарегистрированный единый список кандидатов, доверенным лицам избирательных объединений, уполномоченным представителям избирательных объединений по финансовым вопросам, а также зарегистрированным кандидатам, избранным депутатами Совета</w:t>
      </w:r>
      <w:r>
        <w:rPr>
          <w:rFonts w:ascii="PT Astra Serif" w:hAnsi="PT Astra Serif" w:cs="PT Astra Serif" w:eastAsia="PT Astra Serif"/>
          <w:sz w:val="28"/>
        </w:rPr>
        <w:t xml:space="preserve"> депутатов Грайворонского городского округа второго созыва.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2.2.8. Извещает выдвинувшее единый список кандидатов избирательное объединение при выявлении неполноты сведений о кандидатах или несоблюдения требований Избирательного кодекса к оформлению документ</w:t>
      </w:r>
      <w:r>
        <w:rPr>
          <w:rFonts w:ascii="PT Astra Serif" w:hAnsi="PT Astra Serif" w:cs="PT Astra Serif" w:eastAsia="PT Astra Serif"/>
          <w:sz w:val="28"/>
        </w:rPr>
        <w:t xml:space="preserve">ов о дне заседания Грайворонской территориальной избирательной комиссии, на котором должен рассматриваться вопрос о регистрации единого списка кандидатов, не позднее чем за три дня до дня заседания.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2.2.9. Принимает документы по выбытию кандидатов из соотве</w:t>
      </w:r>
      <w:r>
        <w:rPr>
          <w:rFonts w:ascii="PT Astra Serif" w:hAnsi="PT Astra Serif" w:cs="PT Astra Serif" w:eastAsia="PT Astra Serif"/>
          <w:sz w:val="28"/>
        </w:rPr>
        <w:t xml:space="preserve">тствующего единого списка кандидатов на основании статьи 47 Избирательного кодекса.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2.2.10. Принимает документы о прекращении полномочий доверенных лиц избирательных объединений при их отзыве избирательным объединением или на основании личных письменных за</w:t>
      </w:r>
      <w:r>
        <w:rPr>
          <w:rFonts w:ascii="PT Astra Serif" w:hAnsi="PT Astra Serif" w:cs="PT Astra Serif" w:eastAsia="PT Astra Serif"/>
          <w:sz w:val="28"/>
        </w:rPr>
        <w:t xml:space="preserve">явлений.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2.2.11. Готовит проекты постановлений Грайворонской территориальной избирательной комиссии по направлениям деятельности рабочей группы.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2.2.12. Готовит материалы, необходимые в случае обжалования постановлений Грайворонской территориальной избирател</w:t>
      </w:r>
      <w:r>
        <w:rPr>
          <w:rFonts w:ascii="PT Astra Serif" w:hAnsi="PT Astra Serif" w:cs="PT Astra Serif" w:eastAsia="PT Astra Serif"/>
          <w:sz w:val="28"/>
        </w:rPr>
        <w:t xml:space="preserve">ьной комиссии о заверении либо об отказе в заверении единых списков кандидатов, списков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к</w:t>
      </w:r>
      <w:r>
        <w:rPr>
          <w:rFonts w:ascii="PT Astra Serif" w:hAnsi="PT Astra Serif" w:cs="PT Astra Serif" w:eastAsia="PT Astra Serif"/>
          <w:sz w:val="28"/>
        </w:rPr>
        <w:t xml:space="preserve">андидатов по одномандатным избирательным округам, о регистрации либо об отказе в регистрации единых списков кандидатов, выдвинутых избирательными объединениями.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2.3. Принятые от уполномоченных представителей избирательных объединений сведения о размерах и </w:t>
      </w:r>
      <w:r>
        <w:rPr>
          <w:rFonts w:ascii="PT Astra Serif" w:hAnsi="PT Astra Serif" w:cs="PT Astra Serif" w:eastAsia="PT Astra Serif"/>
          <w:sz w:val="28"/>
        </w:rPr>
        <w:t xml:space="preserve">об источниках доходов, имуществе, о вкладах в банках, ценных бумагах кандидатов передаются в Контрольно-ревизионную службу при Грайворонской территориальной избирательной комиссии.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Состав и организация деятельности рабочей группы по приему и проверке доку</w:t>
      </w:r>
      <w:r>
        <w:rPr>
          <w:rFonts w:ascii="PT Astra Serif" w:hAnsi="PT Astra Serif" w:cs="PT Astra Serif" w:eastAsia="PT Astra Serif"/>
          <w:b/>
          <w:sz w:val="28"/>
        </w:rPr>
        <w:t xml:space="preserve">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3.1. Рабочая группа по приему и проверке документов образуется из числа членов Грайворонской территориальной избирательной комиссии с правом решающего голоса и системного администратора Грайворонской территориальной избирательной комиссии. Для выполне</w:t>
      </w:r>
      <w:r>
        <w:rPr>
          <w:rFonts w:ascii="PT Astra Serif" w:hAnsi="PT Astra Serif" w:cs="PT Astra Serif" w:eastAsia="PT Astra Serif"/>
          <w:sz w:val="28"/>
        </w:rPr>
        <w:t xml:space="preserve">ния задач могут привлекаться специалисты органов внутренних дел Российской Федерации, учреждений юстиции, военных комиссариатов, а также иных государственных органов.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3.2. Для выполнения работ, связанных с обеспечением полномочий рабочей группы по приему и</w:t>
      </w:r>
      <w:r>
        <w:rPr>
          <w:rFonts w:ascii="PT Astra Serif" w:hAnsi="PT Astra Serif" w:cs="PT Astra Serif" w:eastAsia="PT Astra Serif"/>
          <w:sz w:val="28"/>
        </w:rPr>
        <w:t xml:space="preserve"> проверке документов,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</w:t>
      </w:r>
      <w:r>
        <w:rPr>
          <w:rFonts w:ascii="PT Astra Serif" w:hAnsi="PT Astra Serif" w:cs="PT Astra Serif" w:eastAsia="PT Astra Serif"/>
          <w:sz w:val="28"/>
        </w:rPr>
        <w:t xml:space="preserve">редставляемых уполномоченными представителями избирательных объединений, сроков подготовки материалов, необходимых для рассмотрения на заседаниях Грайворонской территориальной избирательной комиссии.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3.3. Руководитель рабочей группы по приему и проверке док</w:t>
      </w:r>
      <w:r>
        <w:rPr>
          <w:rFonts w:ascii="PT Astra Serif" w:hAnsi="PT Astra Serif" w:cs="PT Astra Serif" w:eastAsia="PT Astra Serif"/>
          <w:sz w:val="28"/>
        </w:rPr>
        <w:t xml:space="preserve">у</w:t>
      </w:r>
      <w:r>
        <w:rPr>
          <w:rFonts w:ascii="PT Astra Serif" w:hAnsi="PT Astra Serif" w:cs="PT Astra Serif" w:eastAsia="PT Astra Serif"/>
          <w:sz w:val="28"/>
        </w:rPr>
        <w:t xml:space="preserve">ментов или по его поручению заместитель руководителя или член рабочей группы, являющийся членом Грайворонской территориальной избирательной комиссии с правом решающего голоса, представляет подготовленный на основании рекомендаций рабочей группы проект пост</w:t>
      </w:r>
      <w:r>
        <w:rPr>
          <w:rFonts w:ascii="PT Astra Serif" w:hAnsi="PT Astra Serif" w:cs="PT Astra Serif" w:eastAsia="PT Astra Serif"/>
          <w:sz w:val="28"/>
        </w:rPr>
        <w:t xml:space="preserve">ан</w:t>
      </w:r>
      <w:r>
        <w:rPr>
          <w:rFonts w:ascii="PT Astra Serif" w:hAnsi="PT Astra Serif" w:cs="PT Astra Serif" w:eastAsia="PT Astra Serif"/>
          <w:sz w:val="28"/>
        </w:rPr>
        <w:t xml:space="preserve">овления Грайворонской территориальной избирательной комиссии на заседании Грайворонской территориальной избирательной комиссии. В отсутствие руководителя рабочей группы его полномочия исполняет заместитель руководителя рабочей группы по приему и проверке д</w:t>
      </w:r>
      <w:r>
        <w:rPr>
          <w:rFonts w:ascii="PT Astra Serif" w:hAnsi="PT Astra Serif" w:cs="PT Astra Serif" w:eastAsia="PT Astra Serif"/>
          <w:sz w:val="28"/>
        </w:rPr>
        <w:t xml:space="preserve">окументов.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3.4. Секретарь Рабочей группы по приему и проверке документов организует исполнение поручений руководителя и заместителей руководителя рабочей группы, ведение протоколов заседаний рабочей группы в соответствии с Инструкцией по делопроизводству в</w:t>
      </w:r>
      <w:r>
        <w:rPr>
          <w:rFonts w:ascii="PT Astra Serif" w:hAnsi="PT Astra Serif" w:cs="PT Astra Serif" w:eastAsia="PT Astra Serif"/>
          <w:sz w:val="28"/>
        </w:rPr>
        <w:t xml:space="preserve">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.5. На заседании рабочей группы вправе присутствовать, выступать и задавать вопросы, вносить предложения члены Грайворонской территориальной избирательной комиссии с правом решающего голоса, не являющиеся членами рабочей группы, уполномоченные представител</w:t>
      </w:r>
      <w:r>
        <w:rPr>
          <w:rFonts w:ascii="PT Astra Serif" w:hAnsi="PT Astra Serif" w:cs="PT Astra Serif" w:eastAsia="PT Astra Serif"/>
          <w:sz w:val="28"/>
        </w:rPr>
        <w:t xml:space="preserve">и избирательных объединений, кандидаты. Заседание рабочей группы является правомочным, если на нем присутствует более половины от установленного числа членов рабочей группы. Решение рабочей группы принимается большинством голосов от числа присутствующих на</w:t>
      </w:r>
      <w:r>
        <w:rPr>
          <w:rFonts w:ascii="PT Astra Serif" w:hAnsi="PT Astra Serif" w:cs="PT Astra Serif" w:eastAsia="PT Astra Serif"/>
          <w:sz w:val="28"/>
        </w:rPr>
        <w:t xml:space="preserve">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3.6. На заседании рабочей группы по приему и проверке документов ведется протокол,</w:t>
      </w:r>
      <w:r>
        <w:rPr>
          <w:rFonts w:ascii="PT Astra Serif" w:hAnsi="PT Astra Serif" w:cs="PT Astra Serif" w:eastAsia="PT Astra Serif"/>
          <w:sz w:val="28"/>
        </w:rPr>
        <w:t xml:space="preserve">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</w:t>
      </w:r>
      <w:r>
        <w:rPr>
          <w:rFonts w:ascii="PT Astra Serif" w:hAnsi="PT Astra Serif" w:cs="PT Astra Serif" w:eastAsia="PT Astra Serif"/>
          <w:sz w:val="28"/>
        </w:rPr>
        <w:t xml:space="preserve">рем. 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3.7. Хранение документации, связанной с деятельностью рабочей группы по приему и проверке документов, осуществляется в порядке, установленном Грайворонской территориальной избирательной комиссией. </w:t>
        <w:tab/>
        <w:t xml:space="preserve">3.8. Деятельность рабочей группы по приему и проверке д</w:t>
      </w:r>
      <w:r>
        <w:rPr>
          <w:rFonts w:ascii="PT Astra Serif" w:hAnsi="PT Astra Serif" w:cs="PT Astra Serif" w:eastAsia="PT Astra Serif"/>
          <w:sz w:val="28"/>
        </w:rPr>
        <w:t xml:space="preserve">окументов обеспечивается Грайворонской территориальной избирательной комиссией.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Symbol">
    <w:panose1 w:val="05010000000000000000"/>
  </w:font>
  <w:font w:name="Courier New">
    <w:panose1 w:val="020704090202050204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18.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2023-06-02T10:59:55Z</dcterms:modified>
</cp:coreProperties>
</file>