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8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28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28"/>
        <w:ind w:firstLine="0"/>
        <w:rPr>
          <w:rFonts w:ascii="ptastraserif" w:hAnsi="ptastraserif" w:cs="ptastraserif" w:eastAsia="ptastraserif"/>
          <w:lang w:val="ru-RU"/>
        </w:rPr>
      </w:pPr>
      <w:r>
        <w:rPr>
          <w:rFonts w:ascii="ptastraserif" w:hAnsi="ptastraserif" w:cs="ptastraserif" w:eastAsia="ptastraserif"/>
          <w:lang w:val="ru-RU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lang w:val="ru-RU"/>
        </w:rPr>
      </w:r>
      <w:r/>
    </w:p>
    <w:p>
      <w:pPr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14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18/75-1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19"/>
              <w:jc w:val="both"/>
              <w:rPr>
                <w:rFonts w:ascii="PT Astra Serif" w:hAnsi="PT Astra Serif" w:cs="PT Astra Serif" w:eastAsia="PT Astra Serif"/>
                <w:b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lang w:val="ru-RU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О рабочей группе Грайворонской ТИК по информационным спорам и иным вопросам информационного обеспечения выборов депутатов Совета депутатов Грайворонского городского округа второго созыва в 2023 году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</w:tbl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19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825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  <w:highlight w:val="none"/>
          <w:lang w:val="ru-RU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В соответствии с пунктом 9 статьи 26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частью 8 статьи 30, Избирательного кодекса Белгородской област</w:t>
      </w:r>
      <w:r>
        <w:rPr>
          <w:rFonts w:ascii="PT Astra Serif" w:hAnsi="PT Astra Serif" w:cs="PT Astra Serif" w:eastAsia="PT Astra Serif"/>
          <w:lang w:val="ru-RU"/>
        </w:rPr>
        <w:t xml:space="preserve">и, в целях реализации полномочий Грайворонской территориальной избирательной комиссии по контролю за соблюдением участниками избирательного процесса порядка и правил информирования избирателей, осуществления предвыборной агитации при проведении выборов де</w:t>
      </w:r>
      <w:r>
        <w:rPr>
          <w:rFonts w:ascii="PT Astra Serif" w:hAnsi="PT Astra Serif" w:cs="PT Astra Serif" w:eastAsia="PT Astra Serif"/>
          <w:lang w:val="ru-RU"/>
        </w:rPr>
        <w:t xml:space="preserve">путатов Совета депутатов Грайворонского городского округа второго созыва,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lang w:val="ru-RU"/>
        </w:rPr>
        <w:t xml:space="preserve">постановляет</w:t>
      </w:r>
      <w:r>
        <w:rPr>
          <w:rFonts w:ascii="PT Astra Serif" w:hAnsi="PT Astra Serif" w:cs="PT Astra Serif" w:eastAsia="PT Astra Serif"/>
          <w:lang w:val="ru-RU"/>
        </w:rPr>
        <w:t xml:space="preserve">: </w:t>
      </w:r>
      <w:r>
        <w:rPr>
          <w:rFonts w:ascii="PT Astra Serif" w:hAnsi="PT Astra Serif" w:cs="PT Astra Serif" w:eastAsia="PT Astra Serif"/>
          <w:highlight w:val="none"/>
          <w:lang w:val="ru-RU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lang w:val="ru-RU"/>
        </w:rPr>
        <w:t xml:space="preserve">1. Утвердить Положение о Рабочей группе Грайворонской территориальной избирательной комиссии по информационным с</w:t>
      </w:r>
      <w:r>
        <w:rPr>
          <w:rFonts w:ascii="PT Astra Serif" w:hAnsi="PT Astra Serif" w:cs="PT Astra Serif" w:eastAsia="PT Astra Serif"/>
          <w:lang w:val="ru-RU"/>
        </w:rPr>
        <w:t xml:space="preserve">порам и иным вопросам информационного обеспечения выборов депутатов Совета депутатов Грайворонского городского округа второго созыва 10 сентября 2023 года (приложение № 1).</w:t>
      </w:r>
      <w:r/>
    </w:p>
    <w:p>
      <w:pPr>
        <w:pStyle w:val="825"/>
        <w:ind w:firstLine="708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lang w:val="ru-RU"/>
        </w:rPr>
        <w:t xml:space="preserve">2. Утвердить состав Рабочей группы Грайворонской территориальной избирательной ко</w:t>
      </w:r>
      <w:r>
        <w:rPr>
          <w:rFonts w:ascii="PT Astra Serif" w:hAnsi="PT Astra Serif" w:cs="PT Astra Serif" w:eastAsia="PT Astra Serif"/>
          <w:lang w:val="ru-RU"/>
        </w:rPr>
        <w:t xml:space="preserve">миссии по информационным спорам и иным вопросам информационного обеспечения выборов депутатов Совета депутатов Грайворонского городского округа второго созыва 10 сентября 2023 года (приложение № 2). </w:t>
      </w:r>
      <w:r/>
    </w:p>
    <w:p>
      <w:pPr>
        <w:pStyle w:val="825"/>
        <w:ind w:firstLine="708"/>
        <w:rPr>
          <w:highlight w:val="none"/>
          <w:lang w:val="ru-RU"/>
        </w:rPr>
      </w:pPr>
      <w:r>
        <w:rPr>
          <w:rFonts w:ascii="PT Astra Serif" w:hAnsi="PT Astra Serif" w:cs="PT Astra Serif" w:eastAsia="PT Astra Serif"/>
          <w:lang w:val="ru-RU"/>
        </w:rPr>
        <w:t xml:space="preserve">3. Разместить настоящее постановление на странице террит</w:t>
      </w:r>
      <w:r>
        <w:rPr>
          <w:rFonts w:ascii="PT Astra Serif" w:hAnsi="PT Astra Serif" w:cs="PT Astra Serif" w:eastAsia="PT Astra Serif"/>
          <w:lang w:val="ru-RU"/>
        </w:rPr>
        <w:t xml:space="preserve">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</w:t>
      </w:r>
      <w:r>
        <w:rPr>
          <w:lang w:val="ru-RU"/>
        </w:rPr>
        <w:t xml:space="preserve">.</w:t>
      </w:r>
      <w:r>
        <w:rPr>
          <w:lang w:val="ru-RU"/>
        </w:rPr>
      </w:r>
      <w:r/>
    </w:p>
    <w:p>
      <w:pPr>
        <w:pStyle w:val="825"/>
        <w:ind w:firstLine="708"/>
        <w:rPr>
          <w:rFonts w:ascii="PT Astra Serif" w:hAnsi="PT Astra Serif" w:cs="PT Astra Serif" w:eastAsia="PT Astra Serif"/>
          <w:lang w:val="ru-RU"/>
        </w:rPr>
      </w:pPr>
      <w:r>
        <w:rPr>
          <w:rFonts w:ascii="PT Astra Serif" w:hAnsi="PT Astra Serif" w:cs="PT Astra Serif" w:eastAsia="PT Astra Serif"/>
          <w:highlight w:val="none"/>
          <w:lang w:val="ru-RU"/>
        </w:rPr>
      </w:r>
      <w:r>
        <w:rPr>
          <w:rFonts w:ascii="PT Astra Serif" w:hAnsi="PT Astra Serif" w:cs="PT Astra Serif" w:eastAsia="PT Astra Serif"/>
          <w:lang w:val="ru-RU"/>
        </w:rPr>
        <w:t xml:space="preserve">4. Контроль за исполнением настоящего постановления возложить на председателя Грайворонской территориальной избирательной комиссии С.В. Краснокутского.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27"/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19"/>
        <w:ind w:left="4111" w:right="0" w:firstLine="0"/>
        <w:jc w:val="center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Приложение № 1</w:t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УТВЕРЖДЕНО</w:t>
      </w:r>
      <w:r>
        <w:rPr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постановлением Грайворонской</w:t>
      </w:r>
      <w:r>
        <w:rPr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территориальной избирательной комиссии</w:t>
      </w:r>
      <w:r>
        <w:rPr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</w:rPr>
        <w:t xml:space="preserve">от 14 июня 2023 года № 18/75-1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Положение</w:t>
      </w:r>
      <w:r>
        <w:rPr>
          <w:b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 Рабочей группе Грайворонской территориальной </w:t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комиссии по информационным спорам и иным вопросам информаци</w:t>
      </w:r>
      <w:r>
        <w:rPr>
          <w:rFonts w:ascii="PT Astra Serif" w:hAnsi="PT Astra Serif" w:cs="PT Astra Serif" w:eastAsia="PT Astra Serif"/>
          <w:b/>
          <w:sz w:val="28"/>
        </w:rPr>
        <w:t xml:space="preserve">онного обеспечения выборов депутатов Совета депутатов Грайворонского городского округа второго созыва </w:t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10 сентября 2023 года </w:t>
      </w:r>
      <w:r>
        <w:rPr>
          <w:b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b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1. Настоящее Положение определяет порядок и формы деятельности Рабочей группы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</w:rPr>
        <w:t xml:space="preserve"> по информационным спорам и иным вопросам информационного обеспечения выборов депутатов Совета депутатов Грайворонского городского округа второго созыва (далее - Рабочая группа). Рабочая группа образуется из числа членов Грайворонской территориальной изб</w:t>
      </w:r>
      <w:r>
        <w:rPr>
          <w:rFonts w:ascii="PT Astra Serif" w:hAnsi="PT Astra Serif" w:cs="PT Astra Serif" w:eastAsia="PT Astra Serif"/>
          <w:sz w:val="28"/>
        </w:rPr>
        <w:t xml:space="preserve">ирательной комиссии, членов контрольно-ревизионной службы при Грайворонской территориальной избирательной комиссии, информационно - аналитического отдела администрации Грайворонского городского округа, представителей редакции общественно - политической г</w:t>
      </w:r>
      <w:r>
        <w:rPr>
          <w:rFonts w:ascii="PT Astra Serif" w:hAnsi="PT Astra Serif" w:cs="PT Astra Serif" w:eastAsia="PT Astra Serif"/>
          <w:sz w:val="28"/>
        </w:rPr>
        <w:t xml:space="preserve">азеты Грайворонского городского округа «Вперёд». Состав Рабочей группы утверждается Грайворонской территориальной избирательной комиссией.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2. В компетенцию Рабочей группы входит: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сбор и систематизация уведомлений о готовности предоставить эфирное время</w:t>
      </w:r>
      <w:r>
        <w:rPr>
          <w:rFonts w:ascii="PT Astra Serif" w:hAnsi="PT Astra Serif" w:cs="PT Astra Serif" w:eastAsia="PT Astra Serif"/>
          <w:sz w:val="28"/>
        </w:rPr>
        <w:t xml:space="preserve">, печатную площадь зарегистрированным кандидатам, избирательным объединениям, а также сведений о размере и других условиях их оплаты, представленных организациями телерадиовещания и редакциями периодических печатных изданий в Грайворонскую территориальную</w:t>
      </w:r>
      <w:r>
        <w:rPr>
          <w:rFonts w:ascii="PT Astra Serif" w:hAnsi="PT Astra Serif" w:cs="PT Astra Serif" w:eastAsia="PT Astra Serif"/>
          <w:sz w:val="28"/>
        </w:rPr>
        <w:t xml:space="preserve"> избирательную комиссию в порядке, установленном законодательством о выборах;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сбор и систематизация сведений о размере и других условиях оплаты работ по изготовлению печатных агитационных материалов, представленных организациями, индивидуальными предприн</w:t>
      </w:r>
      <w:r>
        <w:rPr>
          <w:rFonts w:ascii="PT Astra Serif" w:hAnsi="PT Astra Serif" w:cs="PT Astra Serif" w:eastAsia="PT Astra Serif"/>
          <w:sz w:val="28"/>
        </w:rPr>
        <w:t xml:space="preserve">имателями, выполняющими работы (оказывающими услуги) по изготовлению печатных агитационных материалов, в Грайворонскую территориальную избирательную комиссию в порядке, установленном законодательством о выборах;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сбор и систематизация экземпляров печатны</w:t>
      </w:r>
      <w:r>
        <w:rPr>
          <w:rFonts w:ascii="PT Astra Serif" w:hAnsi="PT Astra Serif" w:cs="PT Astra Serif" w:eastAsia="PT Astra Serif"/>
          <w:sz w:val="28"/>
        </w:rPr>
        <w:t xml:space="preserve">х агитационных материалов или их копий, экземпляров аудиовизуальных агитационных ма</w:t>
      </w:r>
      <w:r>
        <w:rPr>
          <w:rFonts w:ascii="PT Astra Serif" w:hAnsi="PT Astra Serif" w:cs="PT Astra Serif" w:eastAsia="PT Astra Serif"/>
          <w:sz w:val="28"/>
        </w:rPr>
        <w:t xml:space="preserve">териалов, фотографий или экземпляров иных агитационных материалов, а </w:t>
      </w:r>
      <w:r>
        <w:rPr>
          <w:rFonts w:ascii="PT Astra Serif" w:hAnsi="PT Astra Serif" w:cs="PT Astra Serif" w:eastAsia="PT Astra Serif"/>
          <w:sz w:val="28"/>
        </w:rPr>
        <w:t xml:space="preserve">также электронных образов этих предвыборных агитационных материалов, представленных в Грайворонскую территориальную избирательную комиссию в порядке, установленном федеральным законодательством о выборах;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сбор, систематизация и размещение на официальном</w:t>
      </w:r>
      <w:r>
        <w:rPr>
          <w:rFonts w:ascii="PT Astra Serif" w:hAnsi="PT Astra Serif" w:cs="PT Astra Serif" w:eastAsia="PT Astra Serif"/>
          <w:sz w:val="28"/>
        </w:rPr>
        <w:t xml:space="preserve"> сайте органов местного самоуправления в разделе «Избирательная комиссия» информации о фактах предоставления помещений зарегистрированным кандидатам, политическим партиям, выдвинувшими зарегистрированных кандидатов, в соответствии с пунктами 4, 41 статьи 5</w:t>
      </w:r>
      <w:r>
        <w:rPr>
          <w:rFonts w:ascii="PT Astra Serif" w:hAnsi="PT Astra Serif" w:cs="PT Astra Serif" w:eastAsia="PT Astra Serif"/>
          <w:sz w:val="28"/>
        </w:rPr>
        <w:t xml:space="preserve">3 Федерального закона «Об основных гарантиях избирательных прав и права на участие в референдуме граждан Российской Федерации»;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ввод в задачу «Агитация» ГАС «Выборы» сведений, предусмотренных Регламентом использования Государственной автоматизированной с</w:t>
      </w:r>
      <w:r>
        <w:rPr>
          <w:rFonts w:ascii="PT Astra Serif" w:hAnsi="PT Astra Serif" w:cs="PT Astra Serif" w:eastAsia="PT Astra Serif"/>
          <w:sz w:val="28"/>
        </w:rPr>
        <w:t xml:space="preserve">истемы Российской Федерации «Выборы», для контроля за соблюдением установленного порядка проведения предвыборной агитации, агитации при проведении референдума, утвержденным постановлением Центральной избирательной комиссии Российской Федерации от 14 феврал</w:t>
      </w:r>
      <w:r>
        <w:rPr>
          <w:rFonts w:ascii="PT Astra Serif" w:hAnsi="PT Astra Serif" w:cs="PT Astra Serif" w:eastAsia="PT Astra Serif"/>
          <w:sz w:val="28"/>
        </w:rPr>
        <w:t xml:space="preserve">я 2013 года № 161/1192-6;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размещение на официальном сайте органов местного самоуправления в разделе «Избирательная комиссия»: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а) перечня муниципальных организаций телерадиовещания и муниципальных периодических печатных изданий, представленного территориа</w:t>
      </w:r>
      <w:r>
        <w:rPr>
          <w:rFonts w:ascii="PT Astra Serif" w:hAnsi="PT Astra Serif" w:cs="PT Astra Serif" w:eastAsia="PT Astra Serif"/>
          <w:sz w:val="28"/>
        </w:rPr>
        <w:t xml:space="preserve">льным органом федерального органа исполнительной власти, осуществляющего функции по контролю и надзору в сфере средств массовой информации, в том числе электронных, и массовых коммуникаций, информационных технологий и связи;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б) обобщенных сведений о поступ</w:t>
      </w:r>
      <w:r>
        <w:rPr>
          <w:rFonts w:ascii="PT Astra Serif" w:hAnsi="PT Astra Serif" w:cs="PT Astra Serif" w:eastAsia="PT Astra Serif"/>
          <w:sz w:val="28"/>
        </w:rPr>
        <w:t xml:space="preserve">ивших уведомлениях муниципальных организаций телерадиовещания о готовности предоставлять эфирное время; </w:t>
        <w:tab/>
        <w:t xml:space="preserve">в) обобщенных сведений о поступивших уведомлениях редакций муниципальных периодических печатных изданий о готовности предоставить печатную площадь;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г) о</w:t>
      </w:r>
      <w:r>
        <w:rPr>
          <w:rFonts w:ascii="PT Astra Serif" w:hAnsi="PT Astra Serif" w:cs="PT Astra Serif" w:eastAsia="PT Astra Serif"/>
          <w:sz w:val="28"/>
        </w:rPr>
        <w:t xml:space="preserve">бобщенных сведений о поступивших уведомлениях организаций, индивидуальных предпринимателей о готовности выполнять работы (оказывать услуги) по изготовлению печатных предвыборных агитационных материалов;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д) графиков распределения эфирного времени;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рассмот</w:t>
      </w:r>
      <w:r>
        <w:rPr>
          <w:rFonts w:ascii="PT Astra Serif" w:hAnsi="PT Astra Serif" w:cs="PT Astra Serif" w:eastAsia="PT Astra Serif"/>
          <w:sz w:val="28"/>
        </w:rPr>
        <w:t xml:space="preserve">рение во взаимодействии с контрольно-ревизионной службой при Грайворонской территориальной избирательной комиссии экземпляров печатных агитационных материалов или их копий, экземпляров аудиовизуальных агитационных материалов, фотографий иных агитационных </w:t>
      </w:r>
      <w:r>
        <w:rPr>
          <w:rFonts w:ascii="PT Astra Serif" w:hAnsi="PT Astra Serif" w:cs="PT Astra Serif" w:eastAsia="PT Astra Serif"/>
          <w:sz w:val="28"/>
        </w:rPr>
        <w:t xml:space="preserve">материалов, представленных в Грайворонскую территориальную избирательную комиссию зарегистрированными кандидатами, избирательными объединениями на предмет их соответствия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действующему законодательству о выборах, а также подготовка соответствующих заключений;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рассмотрение вопросов, касающихся публикаций результатов опросов общественного мнения, связанных с выборами;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предварительное рассмотрение обращений о нарушениях пол</w:t>
      </w:r>
      <w:r>
        <w:rPr>
          <w:rFonts w:ascii="PT Astra Serif" w:hAnsi="PT Astra Serif" w:cs="PT Astra Serif" w:eastAsia="PT Astra Serif"/>
          <w:sz w:val="28"/>
        </w:rPr>
        <w:t xml:space="preserve">ожений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Белгородской области, регулирующих порядок информирования избирателей, проведения предвыборной агита</w:t>
      </w:r>
      <w:r>
        <w:rPr>
          <w:rFonts w:ascii="PT Astra Serif" w:hAnsi="PT Astra Serif" w:cs="PT Astra Serif" w:eastAsia="PT Astra Serif"/>
          <w:sz w:val="28"/>
        </w:rPr>
        <w:t xml:space="preserve">ции;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сбор и систематизация материалов о нарушениях действующего законодательства, регулирующего порядок информирования избирателей и проведения предвыборной агитации, допущенных избирательными объединениями, зарегистрированными кандидатами, организациями</w:t>
      </w:r>
      <w:r>
        <w:rPr>
          <w:rFonts w:ascii="PT Astra Serif" w:hAnsi="PT Astra Serif" w:cs="PT Astra Serif" w:eastAsia="PT Astra Serif"/>
          <w:sz w:val="28"/>
        </w:rPr>
        <w:t xml:space="preserve"> телерадиовещания, редакциями периодических печатных изданий, иными лицами в ходе избирательной кампании, подготовка и принятие соответствующих заключений (решений) Рабочей группы;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подготовка проектов представлений Грайворонской территориальной избирате</w:t>
      </w:r>
      <w:r>
        <w:rPr>
          <w:rFonts w:ascii="PT Astra Serif" w:hAnsi="PT Astra Serif" w:cs="PT Astra Serif" w:eastAsia="PT Astra Serif"/>
          <w:sz w:val="28"/>
        </w:rPr>
        <w:t xml:space="preserve">льной комиссии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 - рассмотрение полученных Грайворонской территориальной избирательной комиссией от гос</w:t>
      </w:r>
      <w:r>
        <w:rPr>
          <w:rFonts w:ascii="PT Astra Serif" w:hAnsi="PT Astra Serif" w:cs="PT Astra Serif" w:eastAsia="PT Astra Serif"/>
          <w:sz w:val="28"/>
        </w:rPr>
        <w:t xml:space="preserve">ударственных органов, органов местного самоуправления, государственных и муниципальных учреждений, их должностных лиц, организаций, в том числе организаций телерадиовещания, редакций периодических печатных изданий, общественных объединений, их должностных </w:t>
      </w:r>
      <w:r>
        <w:rPr>
          <w:rFonts w:ascii="PT Astra Serif" w:hAnsi="PT Astra Serif" w:cs="PT Astra Serif" w:eastAsia="PT Astra Serif"/>
          <w:sz w:val="28"/>
        </w:rPr>
        <w:t xml:space="preserve">лиц сведений и материалов по вопросам компетенции Рабочей группы.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3. Рабочая группа в своей деятельности руководствуется Конституцией Российской Федерации, Федеральным законом от 12.06.2002г. № 67-ФЗ «Об основных гарантиях избирательных прав и права на уча</w:t>
      </w:r>
      <w:r>
        <w:rPr>
          <w:rFonts w:ascii="PT Astra Serif" w:hAnsi="PT Astra Serif" w:cs="PT Astra Serif" w:eastAsia="PT Astra Serif"/>
          <w:sz w:val="28"/>
        </w:rPr>
        <w:t xml:space="preserve">стие в референдуме граждан Российской Федерации», постановлениями Центральной избирательной комиссии Российской Федерации, Избирательным кодексом Белгородской области, постановлениями Грайворонской территориальной избирательной комиссии, а также настоящим</w:t>
      </w:r>
      <w:r>
        <w:rPr>
          <w:rFonts w:ascii="PT Astra Serif" w:hAnsi="PT Astra Serif" w:cs="PT Astra Serif" w:eastAsia="PT Astra Serif"/>
          <w:sz w:val="28"/>
        </w:rPr>
        <w:t xml:space="preserve"> Положением.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4. Заседание Рабочей группы созывает руководитель Рабочей группы (в случае его отсутствия -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</w:t>
      </w:r>
      <w:r>
        <w:rPr>
          <w:rFonts w:ascii="PT Astra Serif" w:hAnsi="PT Astra Serif" w:cs="PT Astra Serif" w:eastAsia="PT Astra Serif"/>
          <w:sz w:val="28"/>
        </w:rPr>
        <w:t xml:space="preserve">и на нем присутствует более половины от установленного числа членов Рабочей группы.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Деятельность Рабочей группы осуществляется на основе коллегиальности, открытого обсуждения вопросов, </w:t>
      </w:r>
      <w:r>
        <w:rPr>
          <w:rFonts w:ascii="PT Astra Serif" w:hAnsi="PT Astra Serif" w:cs="PT Astra Serif" w:eastAsia="PT Astra Serif"/>
          <w:sz w:val="28"/>
        </w:rPr>
        <w:t xml:space="preserve">относящихся к ее компетенции.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На заседаниях Рабочей группы вправе присутствовать и высказывать свое мнение члены Избирательной комиссии Белгородской области с правом решающего голоса, Грайворонской территориальной избирательной комиссии. В заседании Рабочей группы вправе принимать уча</w:t>
      </w:r>
      <w:r>
        <w:rPr>
          <w:rFonts w:ascii="PT Astra Serif" w:hAnsi="PT Astra Serif" w:cs="PT Astra Serif" w:eastAsia="PT Astra Serif"/>
          <w:sz w:val="28"/>
        </w:rPr>
        <w:t xml:space="preserve">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</w:t>
      </w:r>
      <w:r>
        <w:rPr>
          <w:rFonts w:ascii="PT Astra Serif" w:hAnsi="PT Astra Serif" w:cs="PT Astra Serif" w:eastAsia="PT Astra Serif"/>
          <w:sz w:val="28"/>
        </w:rPr>
        <w:t xml:space="preserve">должны быть оформлены в установленном законом порядке.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Для рассмотрения выносимых на заседание 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</w:t>
      </w:r>
      <w:r>
        <w:rPr>
          <w:rFonts w:ascii="PT Astra Serif" w:hAnsi="PT Astra Serif" w:cs="PT Astra Serif" w:eastAsia="PT Astra Serif"/>
          <w:sz w:val="28"/>
        </w:rPr>
        <w:t xml:space="preserve">твенной власти, иных государственных органов, органов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 Руководите</w:t>
      </w:r>
      <w:r>
        <w:rPr>
          <w:rFonts w:ascii="PT Astra Serif" w:hAnsi="PT Astra Serif" w:cs="PT Astra Serif" w:eastAsia="PT Astra Serif"/>
          <w:sz w:val="28"/>
        </w:rPr>
        <w:t xml:space="preserve">ль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</w:t>
      </w:r>
      <w:r>
        <w:rPr>
          <w:rFonts w:ascii="PT Astra Serif" w:hAnsi="PT Astra Serif" w:cs="PT Astra Serif" w:eastAsia="PT Astra Serif"/>
          <w:sz w:val="28"/>
        </w:rPr>
        <w:t xml:space="preserve">ниях.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- иной уполномоченный на то член Рабочей группы из числа членов Грайворонской территориал</w:t>
      </w:r>
      <w:r>
        <w:rPr>
          <w:rFonts w:ascii="PT Astra Serif" w:hAnsi="PT Astra Serif" w:cs="PT Astra Serif" w:eastAsia="PT Astra Serif"/>
          <w:sz w:val="28"/>
        </w:rPr>
        <w:t xml:space="preserve">ьной избирательной комиссии с правом решающего голоса.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</w:t>
      </w:r>
      <w:r>
        <w:rPr>
          <w:rFonts w:ascii="PT Astra Serif" w:hAnsi="PT Astra Serif" w:cs="PT Astra Serif" w:eastAsia="PT Astra Serif"/>
          <w:sz w:val="28"/>
        </w:rPr>
        <w:t xml:space="preserve">да - пяти минут, иных выступлений - трех минут, для справок, оглашения информации, обращений - двух минут, заключительного слова докладчика - трех минут.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5. Поступившие в Грайворонскую территориальную избирательную комиссию обращения и иные документы расс</w:t>
      </w:r>
      <w:r>
        <w:rPr>
          <w:rFonts w:ascii="PT Astra Serif" w:hAnsi="PT Astra Serif" w:cs="PT Astra Serif" w:eastAsia="PT Astra Serif"/>
          <w:sz w:val="28"/>
        </w:rPr>
        <w:t xml:space="preserve">матриваются на заседаниях Рабочей группы по поручению председателя, а в его отсутствие – заместителя председателя Грайворонской территориальной избирательной комиссии. </w:t>
        <w:tab/>
        <w:t xml:space="preserve">Подготовка к заседаниям Рабочей группы ведется в соответствии с поручениями руководител</w:t>
      </w:r>
      <w:r>
        <w:rPr>
          <w:rFonts w:ascii="PT Astra Serif" w:hAnsi="PT Astra Serif" w:cs="PT Astra Serif" w:eastAsia="PT Astra Serif"/>
          <w:sz w:val="28"/>
        </w:rPr>
        <w:t xml:space="preserve">я Рабочей группы членом Рабочей группы, ответственным за подготовку конкретного вопроса, а также другими членами Рабочей группы, соответствующими избирательными комиссиями, а также привлекаемыми специалистами.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 заседанию Рабочей группы готовятся документы</w:t>
      </w:r>
      <w:r>
        <w:rPr>
          <w:rFonts w:ascii="PT Astra Serif" w:hAnsi="PT Astra Serif" w:cs="PT Astra Serif" w:eastAsia="PT Astra Serif"/>
          <w:sz w:val="28"/>
        </w:rPr>
        <w:t xml:space="preserve">, необходимые для рассмотрения обращений, и иные документы, проект решения Рабочей группы по рассматриваемому обращению или иному </w:t>
      </w:r>
      <w:r>
        <w:rPr>
          <w:rFonts w:ascii="PT Astra Serif" w:hAnsi="PT Astra Serif" w:cs="PT Astra Serif" w:eastAsia="PT Astra Serif"/>
          <w:sz w:val="28"/>
        </w:rPr>
        <w:t xml:space="preserve">документу, а в необходимых случаях - заключения специалистов.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  <w:t xml:space="preserve">6. Срок рассмотрения, порядок регистрации и рассмотрения поступающих обращений определяются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Белгородской об</w:t>
      </w:r>
      <w:r>
        <w:rPr>
          <w:rFonts w:ascii="PT Astra Serif" w:hAnsi="PT Astra Serif" w:cs="PT Astra Serif" w:eastAsia="PT Astra Serif"/>
          <w:sz w:val="28"/>
        </w:rPr>
        <w:t xml:space="preserve">ласти, инструкцией по делопроизводству в избирательной комиссии.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 На заседании Рабочей группы ведется протокол, а при необходимости - аудиозапись. Протокол заседания Рабочей группы ведет секретарь заседания, назначаемый председательствующим на заседании </w:t>
      </w:r>
      <w:r>
        <w:rPr>
          <w:rFonts w:ascii="PT Astra Serif" w:hAnsi="PT Astra Serif" w:cs="PT Astra Serif" w:eastAsia="PT Astra Serif"/>
          <w:sz w:val="28"/>
        </w:rPr>
        <w:t xml:space="preserve">Рабочей группы. Протокол подписывается председательствующим на заседании и секретарем Рабочей группы.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По результатам рассмотрения каждого вопроса на заседании Рабочей группы принимается решение Рабочей группы, которое подписывается руководителем и секретар</w:t>
      </w:r>
      <w:r>
        <w:rPr>
          <w:rFonts w:ascii="PT Astra Serif" w:hAnsi="PT Astra Serif" w:cs="PT Astra Serif" w:eastAsia="PT Astra Serif"/>
          <w:sz w:val="28"/>
        </w:rPr>
        <w:t xml:space="preserve">ем Рабочей группы.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</w:t>
      </w:r>
      <w:r>
        <w:rPr>
          <w:rFonts w:ascii="PT Astra Serif" w:hAnsi="PT Astra Serif" w:cs="PT Astra Serif" w:eastAsia="PT Astra Serif"/>
          <w:sz w:val="28"/>
        </w:rPr>
        <w:t xml:space="preserve">является решающим.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8. Решение Рабочей группы, а при необходимости и соответствующий проект постановления Грайворонской территориальной избирательной комиссии, выносятся на заседание Грайворонской территориальной избирательной комиссии в установленном пор</w:t>
      </w:r>
      <w:r>
        <w:rPr>
          <w:rFonts w:ascii="PT Astra Serif" w:hAnsi="PT Astra Serif" w:cs="PT Astra Serif" w:eastAsia="PT Astra Serif"/>
          <w:sz w:val="28"/>
        </w:rPr>
        <w:t xml:space="preserve">ядке. С докладом по этому вопросу выступает руководитель Рабочей группы, либо по его поручению заместитель руководителя, либо член Рабочей группы - член Грайворонской территориальной избирательной комиссии с правом решающего голоса. </w:t>
      </w:r>
      <w:r/>
    </w:p>
    <w:p>
      <w:pPr>
        <w:pStyle w:val="819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9. Обращения, касающие</w:t>
      </w:r>
      <w:r>
        <w:rPr>
          <w:rFonts w:ascii="PT Astra Serif" w:hAnsi="PT Astra Serif" w:cs="PT Astra Serif" w:eastAsia="PT Astra Serif"/>
          <w:sz w:val="28"/>
        </w:rPr>
        <w:t xml:space="preserve">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предоставленные организациями телерадиовещания и редакциями периодических печатных изданий сведения о р</w:t>
      </w:r>
      <w:r>
        <w:rPr>
          <w:rFonts w:ascii="PT Astra Serif" w:hAnsi="PT Astra Serif" w:cs="PT Astra Serif" w:eastAsia="PT Astra Serif"/>
          <w:sz w:val="28"/>
        </w:rPr>
        <w:t xml:space="preserve">азмере и иных условиях оплаты эфирного времени, печатной площади, уведомления о готовности предоставить эфирное время и печатную площадь зарегистрированным кандидатам, избирательным объединениям, обращения о порядке применения законодательства в ходе инфор</w:t>
      </w:r>
      <w:r>
        <w:rPr>
          <w:rFonts w:ascii="PT Astra Serif" w:hAnsi="PT Astra Serif" w:cs="PT Astra Serif" w:eastAsia="PT Astra Serif"/>
          <w:sz w:val="28"/>
        </w:rPr>
        <w:t xml:space="preserve">ми</w:t>
      </w:r>
      <w:r>
        <w:rPr>
          <w:rFonts w:ascii="PT Astra Serif" w:hAnsi="PT Astra Serif" w:cs="PT Astra Serif" w:eastAsia="PT Astra Serif"/>
          <w:sz w:val="28"/>
        </w:rPr>
        <w:t xml:space="preserve">рования избирателей, при проведении предвыборной агитации, другие документы передаются исполнителями на хранение в порядке, установленном Центральной избирательной комиссией Российской Федерации, Избирательной комиссией Белгородской области и Грайворонской</w:t>
      </w:r>
      <w:r>
        <w:rPr>
          <w:rFonts w:ascii="PT Astra Serif" w:hAnsi="PT Astra Serif" w:cs="PT Astra Serif" w:eastAsia="PT Astra Serif"/>
          <w:sz w:val="28"/>
        </w:rPr>
        <w:t xml:space="preserve"> территориальной избирательной комиссией.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  <w:t xml:space="preserve">Приложение № 2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 УТВЕРЖДЕНО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 постановлением Грайворонской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jc w:val="right"/>
      </w:pPr>
      <w:r>
        <w:rPr>
          <w:rFonts w:ascii="PT Astra Serif" w:hAnsi="PT Astra Serif" w:cs="PT Astra Serif" w:eastAsia="PT Astra Serif"/>
          <w:sz w:val="24"/>
        </w:rPr>
        <w:t xml:space="preserve"> от 14 июня 2023 года № 18/75-1</w:t>
      </w:r>
      <w:r>
        <w:t xml:space="preserve"> </w:t>
      </w:r>
      <w:r/>
    </w:p>
    <w:p>
      <w:pPr>
        <w:pStyle w:val="819"/>
        <w:jc w:val="right"/>
      </w:pPr>
      <w:r/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С</w:t>
      </w:r>
      <w:r>
        <w:rPr>
          <w:rFonts w:ascii="PT Astra Serif" w:hAnsi="PT Astra Serif" w:cs="PT Astra Serif" w:eastAsia="PT Astra Serif"/>
          <w:b/>
          <w:sz w:val="28"/>
        </w:rPr>
        <w:t xml:space="preserve">ОСТАВ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Рабочей группы Грайворонской территориальной избирательной комиссии по информационным спорам и иным вопросам информационног</w:t>
      </w:r>
      <w:r>
        <w:rPr>
          <w:rFonts w:ascii="PT Astra Serif" w:hAnsi="PT Astra Serif" w:cs="PT Astra Serif" w:eastAsia="PT Astra Serif"/>
          <w:b/>
          <w:sz w:val="28"/>
        </w:rPr>
        <w:t xml:space="preserve">о обеспечения выборов депутатов Совета депутатов Грайворонского городского округа второго созыва 10 сентября 2023</w:t>
      </w:r>
      <w:r>
        <w:rPr>
          <w:rFonts w:ascii="PT Astra Serif" w:hAnsi="PT Astra Serif" w:cs="PT Astra Serif" w:eastAsia="PT Astra Serif"/>
          <w:b/>
          <w:sz w:val="28"/>
        </w:rPr>
        <w:t xml:space="preserve"> года</w:t>
      </w:r>
      <w:r/>
    </w:p>
    <w:p>
      <w:pPr>
        <w:pStyle w:val="819"/>
        <w:jc w:val="center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highlight w:val="none"/>
        </w:rPr>
      </w:r>
      <w:r/>
    </w:p>
    <w:p>
      <w:pPr>
        <w:pStyle w:val="819"/>
        <w:ind w:left="4394" w:right="0" w:hanging="4394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Леденёв Евгений Александрович - заместитель председателя Грайворонской территориальной избирательной комиссии, Руководитель Рабочей гру</w:t>
      </w:r>
      <w:r>
        <w:rPr>
          <w:rFonts w:ascii="PT Astra Serif" w:hAnsi="PT Astra Serif" w:cs="PT Astra Serif" w:eastAsia="PT Astra Serif"/>
          <w:sz w:val="28"/>
        </w:rPr>
        <w:t xml:space="preserve">ппы;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3543" w:right="0" w:hanging="3543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19"/>
        <w:ind w:left="4252" w:right="0" w:hanging="4252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Угольникова Лариса Анатольевна - секретарь Грайворонской территориальной избирательной комиссии, заместитель Руководителя Рабочей группы;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2126" w:right="0" w:hanging="212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19"/>
        <w:ind w:left="4394" w:right="0" w:hanging="4394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Мирошниченко Елена Ивановна - член Грайворонской территориальной избирательной комиссии;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2126" w:right="0" w:hanging="2126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4394" w:right="0" w:hanging="4394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Горбань Сергей Никола</w:t>
      </w:r>
      <w:r>
        <w:rPr>
          <w:rFonts w:ascii="PT Astra Serif" w:hAnsi="PT Astra Serif" w:cs="PT Astra Serif" w:eastAsia="PT Astra Serif"/>
          <w:sz w:val="28"/>
        </w:rPr>
        <w:t xml:space="preserve">евич - </w:t>
      </w:r>
      <w:r>
        <w:rPr>
          <w:rFonts w:ascii="PT Astra Serif" w:hAnsi="PT Astra Serif" w:cs="PT Astra Serif" w:eastAsia="PT Astra Serif"/>
          <w:sz w:val="28"/>
        </w:rPr>
        <w:t xml:space="preserve">член Грайворонской территориальной избирательной комиссии; </w:t>
      </w:r>
      <w:r>
        <w:rPr>
          <w:rFonts w:ascii="PT Astra Serif" w:hAnsi="PT Astra Serif" w:cs="PT Astra Serif" w:eastAsia="PT Astra Serif"/>
          <w:sz w:val="28"/>
        </w:rPr>
      </w:r>
      <w:r/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4252" w:right="0" w:hanging="4252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Сухобокова Людмила Павловна - член Грайворонской </w:t>
      </w:r>
      <w:r>
        <w:rPr>
          <w:rFonts w:ascii="PT Astra Serif" w:hAnsi="PT Astra Serif" w:cs="PT Astra Serif" w:eastAsia="PT Astra Serif"/>
          <w:sz w:val="28"/>
        </w:rPr>
        <w:t xml:space="preserve">территориальной избирательной комиссии;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4252" w:right="0" w:hanging="4252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Крамской Владимир Иванович - системный администратор Грайворонской территориальной избирательной комиссии;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19"/>
        <w:ind w:left="3969" w:right="0" w:hanging="3969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Сушков Валерий Сергеевич - главный редактор общественно - политической газеты «Родной край» (по согласованию</w:t>
      </w:r>
      <w:r>
        <w:rPr>
          <w:rFonts w:ascii="PT Astra Serif" w:hAnsi="PT Astra Serif" w:cs="PT Astra Serif" w:eastAsia="PT Astra Serif"/>
          <w:sz w:val="28"/>
        </w:rPr>
        <w:t xml:space="preserve">);</w:t>
      </w:r>
      <w:r/>
    </w:p>
    <w:p>
      <w:pPr>
        <w:pStyle w:val="819"/>
        <w:ind w:left="3969" w:right="0" w:hanging="396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19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19"/>
        <w:ind w:left="4252" w:right="0" w:hanging="4252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Левша Юлия Владимировна - </w:t>
      </w:r>
      <w:r>
        <w:rPr>
          <w:rFonts w:ascii="PT Astra Serif" w:hAnsi="PT Astra Serif" w:cs="PT Astra Serif" w:eastAsia="PT Astra Serif"/>
          <w:sz w:val="28"/>
        </w:rPr>
        <w:t xml:space="preserve">начальник информационно-аналитического отдела администрации Грайворонского городского округа (по согласованию); 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19"/>
        <w:jc w:val="both"/>
        <w:rPr>
          <w:rFonts w:ascii="PT Astra Serif" w:hAnsi="PT Astra Serif" w:cs="PT Astra Serif" w:eastAsia="PT Astra Serif"/>
          <w:b/>
          <w:sz w:val="28"/>
          <w:highlight w:val="yellow"/>
        </w:rPr>
      </w:pPr>
      <w:r>
        <w:rPr>
          <w:rFonts w:ascii="PT Astra Serif" w:hAnsi="PT Astra Serif" w:cs="PT Astra Serif" w:eastAsia="PT Astra Serif"/>
          <w:b/>
          <w:sz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Symbol">
    <w:panose1 w:val="05010000000000000000"/>
  </w:font>
  <w:font w:name="Courier New">
    <w:panose1 w:val="020704090202050204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  <w:style w:type="character" w:styleId="822">
    <w:name w:val="Основной текст Знак1"/>
    <w:rPr>
      <w:rFonts w:ascii="Arial" w:hAnsi="Arial" w:cs="Arial" w:eastAsia="Arial"/>
      <w:sz w:val="18"/>
    </w:rPr>
  </w:style>
  <w:style w:type="paragraph" w:styleId="823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4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5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6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7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2023-06-14T13:52:25Z</dcterms:modified>
</cp:coreProperties>
</file>