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8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0" w:right="-283" w:firstLine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-283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-283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-283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21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ind w:left="0" w:right="-283" w:firstLine="0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ind w:left="0" w:right="-283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14" w:type="dxa"/>
            <w:textDirection w:val="lrTb"/>
            <w:noWrap/>
          </w:tcPr>
          <w:p>
            <w:pPr>
              <w:ind w:left="0" w:right="-283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18/78-1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75" w:type="dxa"/>
            <w:vAlign w:val="top"/>
            <w:textDirection w:val="lrTb"/>
            <w:noWrap w:val="false"/>
          </w:tcPr>
          <w:p>
            <w:pPr>
              <w:pStyle w:val="825"/>
              <w:ind w:left="0" w:right="48" w:firstLine="0"/>
              <w:jc w:val="both"/>
              <w:widowControl/>
              <w:tabs>
                <w:tab w:val="left" w:pos="-5529" w:leader="none"/>
                <w:tab w:val="left" w:pos="-3402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  <w:lang w:val="ru-RU"/>
              </w:rPr>
              <w:t xml:space="preserve">О возложении полномочий окружных избирательных комиссий по выборам депутатов Совета депутатов Грайворонского городского округа второго созыва на Грайворонскую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5"/>
        <w:ind w:left="0" w:right="-283"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Руководствуясь частью 1 статьи 25, пунктом 9 статьи 26 Федерального закона «Об основных гарантиях избирательных прав и права на участие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референдуме граждан Российской Федерации», частью 1 статьи 29,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частью 8 статьи 30 Избирательного кодекса Белгородской области,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Новооскольская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Возложить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Грайворонскую территориальную избирательную комиссию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10 сентября 2023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2.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3.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городского округа второ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4. 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9.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10.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11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12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13.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14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15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16.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17.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Грайворонскую территориальную избирательную комиссию полномочия окружн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выборам депутатов Совета депутатов Грайворонского городского округа второго созыва 10 сентября 2023 года по одномандатн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18. В период подготовки и проведения выборов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использовать имеющиеся в наличии печати, штампы Грайворонской территориальной избирательной комиссии.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829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19. На период подготовки и проведения выборов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кандидаты,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уполномоченные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представители избирательных объединений представляют документы для выдвижения и регистрации в Грайворонскую территориальную избирательную комиссию по адресу: Белгородская область, Грайворонский городской округ, город Грайворон, улица Комсомольская, дом 21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графиком работы, установленным постановлением Грайворонской территориальной избирательной комиссии.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20. Направить настоящее постановление в Избирательную комиссию Белгородской области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ind w:left="0" w:right="-283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21.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left="0" w:right="-283"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highlight w:val="none"/>
          <w:lang w:val="ru-RU"/>
        </w:rPr>
      </w:r>
      <w:r>
        <w:rPr>
          <w:rFonts w:ascii="PT Astra Serif" w:hAnsi="PT Astra Serif" w:cs="PT Astra Serif" w:eastAsia="PT Astra Serif"/>
          <w:lang w:val="ru-RU"/>
        </w:rPr>
        <w:t xml:space="preserve">22. Контроль за исполнением настоящего постановления возложить на председателя Грайворонской территориальной избирательной комиссии С.В. Краснокутского.</w:t>
      </w:r>
      <w:r>
        <w:rPr>
          <w:rFonts w:ascii="PT Astra Serif" w:hAnsi="PT Astra Serif" w:cs="PT Astra Serif" w:eastAsia="PT Astra Serif"/>
        </w:rPr>
      </w:r>
      <w:r/>
    </w:p>
    <w:p>
      <w:pPr>
        <w:pStyle w:val="827"/>
        <w:ind w:left="0" w:right="-283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7"/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Times New Roman">
    <w:panose1 w:val="020206030504050203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  <w:style w:type="character" w:styleId="822">
    <w:name w:val="Основной текст Знак1"/>
    <w:rPr>
      <w:rFonts w:ascii="Arial" w:hAnsi="Arial" w:cs="Arial" w:eastAsia="Arial"/>
      <w:sz w:val="18"/>
    </w:rPr>
  </w:style>
  <w:style w:type="paragraph" w:styleId="823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5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7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0">
    <w:name w:val="Основной текст с отступом 2"/>
    <w:link w:val="641"/>
    <w:semiHidden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1134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1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8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2023-06-20T05:16:23Z</dcterms:modified>
</cp:coreProperties>
</file>