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570" distR="115570" simplePos="0" relativeHeight="2516582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57150</wp:posOffset>
                </wp:positionV>
                <wp:extent cx="561340" cy="60960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133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51658240;o:allowoverlap:true;o:allowincell:true;mso-position-horizontal-relative:text;margin-left:197.2pt;mso-position-horizontal:absolute;mso-position-vertical-relative:text;margin-top:4.5pt;mso-position-vertical:absolute;width:4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2"/>
        <w:ind w:firstLine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32"/>
        <w:ind w:firstLine="0"/>
        <w:jc w:val="left"/>
        <w:rPr>
          <w:rFonts w:ascii="ptastraserif" w:hAnsi="ptastraserif" w:cs="ptastraserif" w:eastAsia="ptastraserif"/>
          <w:sz w:val="24"/>
          <w:szCs w:val="24"/>
        </w:rPr>
      </w:pPr>
      <w:r>
        <w:rPr>
          <w:rFonts w:ascii="ptastraserif" w:hAnsi="ptastraserif" w:cs="ptastraserif" w:eastAsia="ptastraserif"/>
          <w:sz w:val="24"/>
          <w:szCs w:val="24"/>
        </w:rPr>
      </w:r>
      <w:r>
        <w:rPr>
          <w:rFonts w:ascii="ptastraserif" w:hAnsi="ptastraserif" w:cs="ptastraserif" w:eastAsia="ptastraserif"/>
          <w:sz w:val="24"/>
          <w:szCs w:val="24"/>
        </w:rPr>
      </w:r>
      <w:r/>
    </w:p>
    <w:p>
      <w:pPr>
        <w:pStyle w:val="832"/>
        <w:ind w:firstLine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lang w:val="ru-RU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textDirection w:val="lrTb"/>
            <w:noWrap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16 июня 2023 года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 19/79-1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  <w:sz w:val="24"/>
          <w:szCs w:val="24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17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217" w:type="dxa"/>
            <w:vAlign w:val="top"/>
            <w:textDirection w:val="lrTb"/>
            <w:noWrap w:val="false"/>
          </w:tcPr>
          <w:p>
            <w:pPr>
              <w:pStyle w:val="823"/>
              <w:jc w:val="both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режиме работы Грайворонской территориальной избирательной комиссии по приему документов, представляемых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br/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для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выдвижения и регистрации кандидатов, списка кандидатов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</w:rPr>
              <w:t xml:space="preserve">на выборах 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ind w:left="0" w:right="0" w:firstLine="0"/>
        <w:jc w:val="both"/>
        <w:spacing w:lineRule="auto" w:line="240" w:after="0"/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23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связи с назначением выборов депутатов Совета депутатов Грайворонского г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ородского округа второго созыва, возложением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Грайворонскую территориальную избирательную комиссию полномочий по подготовке и проведению выборов в органы местного самоуправления, местного референдума на территории Грайворонского городского округа,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5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Установить режим работы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избирательной комиссии в период подготовки и проведения выборов депутатов Совета депутатов Грайворонского городского округа второго созыва: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5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 16 июня 2023 года (прием документов для выдвижения) в рабочие дни с понедельника по пятницу - с 08.00 до 17.00 часов по местному времени,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выходные и праздничные дни - с 09.00 до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.00 часов по местному времени;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5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6 июля 2023 года - с 08.00 до 18.00 часов по местному времени (в день,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который истекает срок для представления в Грайворонскую территориальную избирательную комиссию документов для выдвижения кандидатов, списков кандидатов на выборах депутатов Совета депутатов Грайворонского городского округа второго созыва);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5"/>
        <w:ind w:firstLine="567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с 16 июля 2023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(прием документов на регистрацию) в рабочие дни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 понедельника по пятницу - с 08.00 до 17.00 часов по местному времени,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выходные и праздничные дни - с 09.00 до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.00 часов по местному времени;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5"/>
        <w:ind w:firstLine="567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26 июля 2023 года - с 08.00 до 18.00 часов по местному врем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ени (в день, в который истекает срок для представления в Грайворонскую территориальную избирательную комиссию документов для регистрации кандидатов, списков кандидатов на выборах депутатов Совета депутатов Грайворонского городского округа второго созыва)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3"/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Прием документов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 кандидатов, уполномоченных пр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едставителей избирательных объединений на выборах депутатов Совета депутатов Грайворонского городского округа второго созыва и их проверка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осуществляется по адресу: Белгородская область, Грайворонский городской округ, город Грайворон, улица Комсомольская, дом 21, 2 этаж, кабинет 208.</w:t>
      </w:r>
      <w:r>
        <w:rPr>
          <w:rFonts w:ascii="PT Astra Serif" w:hAnsi="PT Astra Serif" w:cs="PT Astra Serif" w:eastAsia="PT Astra Serif"/>
        </w:rPr>
      </w:r>
      <w:r/>
    </w:p>
    <w:p>
      <w:pPr>
        <w:pStyle w:val="836"/>
        <w:ind w:firstLine="567"/>
        <w:jc w:val="both"/>
      </w:pPr>
      <w:r>
        <w:rPr>
          <w:b w:val="false"/>
          <w:sz w:val="28"/>
          <w:szCs w:val="28"/>
        </w:rPr>
        <w:t xml:space="preserve">3</w:t>
      </w:r>
      <w:r>
        <w:rPr>
          <w:b w:val="false"/>
          <w:sz w:val="28"/>
          <w:szCs w:val="28"/>
        </w:rPr>
        <w:t xml:space="preserve">. Направить настоящее постановление в Избирательную комиссию Белгородской области</w:t>
      </w:r>
      <w:r>
        <w:rPr>
          <w:b w:val="false"/>
          <w:sz w:val="28"/>
          <w:szCs w:val="28"/>
        </w:rPr>
        <w:t xml:space="preserve">.</w:t>
      </w:r>
      <w:r>
        <w:rPr>
          <w:b w:val="false"/>
          <w:sz w:val="28"/>
          <w:szCs w:val="28"/>
        </w:rPr>
      </w:r>
      <w:r/>
    </w:p>
    <w:p>
      <w:pPr>
        <w:pStyle w:val="836"/>
        <w:ind w:firstLine="567"/>
        <w:jc w:val="both"/>
      </w:pPr>
      <w:r>
        <w:rPr>
          <w:b w:val="false"/>
          <w:sz w:val="28"/>
          <w:szCs w:val="28"/>
        </w:rPr>
        <w:t xml:space="preserve">4</w:t>
      </w:r>
      <w:r>
        <w:rPr>
          <w:b w:val="false"/>
          <w:sz w:val="28"/>
          <w:szCs w:val="28"/>
        </w:rPr>
        <w:t xml:space="preserve">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b w:val="false"/>
          <w:sz w:val="28"/>
          <w:szCs w:val="28"/>
        </w:rPr>
      </w:r>
      <w:r/>
    </w:p>
    <w:p>
      <w:pPr>
        <w:pStyle w:val="836"/>
        <w:ind w:firstLine="567"/>
        <w:jc w:val="both"/>
      </w:pPr>
      <w:r>
        <w:rPr>
          <w:b w:val="false"/>
          <w:sz w:val="28"/>
          <w:szCs w:val="28"/>
        </w:rPr>
        <w:t xml:space="preserve">5</w:t>
      </w:r>
      <w:r>
        <w:rPr>
          <w:b w:val="false"/>
          <w:sz w:val="28"/>
          <w:szCs w:val="28"/>
        </w:rPr>
        <w:t xml:space="preserve">. Контроль за исполнением настоящего постановления возложить </w:t>
        <w:br/>
        <w:t xml:space="preserve">на </w:t>
      </w:r>
      <w:r>
        <w:rPr>
          <w:b w:val="false"/>
          <w:sz w:val="28"/>
          <w:szCs w:val="28"/>
        </w:rPr>
        <w:t xml:space="preserve">председателя</w:t>
      </w:r>
      <w:r>
        <w:rPr>
          <w:b w:val="false"/>
          <w:sz w:val="28"/>
          <w:szCs w:val="28"/>
        </w:rPr>
        <w:t xml:space="preserve"> Грайворонской территориальной избирательной комиссии </w:t>
        <w:br/>
        <w:t xml:space="preserve">С.В. Краснокутского</w:t>
      </w:r>
      <w:r>
        <w:rPr>
          <w:b w:val="false"/>
          <w:sz w:val="28"/>
          <w:szCs w:val="28"/>
        </w:rPr>
        <w:t xml:space="preserve">.</w:t>
      </w:r>
      <w:r>
        <w:rPr>
          <w:b w:val="false"/>
          <w:sz w:val="28"/>
          <w:szCs w:val="28"/>
        </w:rPr>
      </w:r>
      <w:r/>
    </w:p>
    <w:p>
      <w:pPr>
        <w:pStyle w:val="823"/>
        <w:ind w:firstLine="0"/>
        <w:jc w:val="both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highlight w:val="none"/>
        </w:rPr>
      </w:r>
      <w:r/>
    </w:p>
    <w:p>
      <w:pPr>
        <w:pStyle w:val="823"/>
        <w:ind w:firstLine="708"/>
        <w:jc w:val="both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tbl>
      <w:tblPr>
        <w:tblW w:w="9253" w:type="dxa"/>
        <w:jc w:val="center"/>
        <w:tblInd w:w="12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26"/>
        <w:gridCol w:w="1701"/>
        <w:gridCol w:w="2926"/>
      </w:tblGrid>
      <w:tr>
        <w:trPr>
          <w:jc w:val="center"/>
          <w:trHeight w:val="9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6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righ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>
          <w:jc w:val="center"/>
          <w:trHeight w:val="96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Грайворонской территориальной избирательной комиссии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1" w:type="dxa"/>
            <w:vAlign w:val="bottom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23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22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ptastraserif">
    <w:panose1 w:val="020A0603040505020204"/>
  </w:font>
  <w:font w:name="Times New Roman">
    <w:panose1 w:val="02020603050405020304"/>
  </w:font>
  <w:font w:name="timesnewroman">
    <w:panose1 w:val="02000603000000000000"/>
  </w:font>
  <w:font w:name="PT Astra Serif">
    <w:panose1 w:val="020A0603040505020204"/>
  </w:font>
  <w:font w:name="Arial">
    <w:panose1 w:val="020B0604020202020204"/>
  </w:font>
  <w:font w:name="Wingdings">
    <w:panose1 w:val="05010000000000000000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0"/>
    <w:next w:val="820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0"/>
    <w:next w:val="820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0"/>
    <w:next w:val="820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0"/>
    <w:next w:val="820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0"/>
    <w:next w:val="820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0"/>
    <w:next w:val="820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0"/>
    <w:next w:val="820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0"/>
    <w:next w:val="820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0"/>
    <w:next w:val="820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Title"/>
    <w:basedOn w:val="820"/>
    <w:next w:val="820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rPr>
      <w:sz w:val="18"/>
    </w:rPr>
    <w:pPr>
      <w:spacing w:lineRule="auto" w:line="240" w:after="40"/>
    </w:p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rPr>
      <w:sz w:val="20"/>
    </w:rPr>
    <w:pPr>
      <w:spacing w:lineRule="auto" w:line="240" w:after="0"/>
    </w:p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qFormat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No Spacing"/>
    <w:basedOn w:val="820"/>
    <w:qFormat/>
    <w:uiPriority w:val="1"/>
    <w:pPr>
      <w:spacing w:lineRule="auto" w:line="240" w:after="0"/>
    </w:pPr>
  </w:style>
  <w:style w:type="paragraph" w:styleId="824">
    <w:name w:val="List Paragraph"/>
    <w:basedOn w:val="820"/>
    <w:qFormat/>
    <w:uiPriority w:val="34"/>
    <w:pPr>
      <w:contextualSpacing w:val="true"/>
      <w:ind w:left="720"/>
    </w:pPr>
  </w:style>
  <w:style w:type="character" w:styleId="825" w:default="1">
    <w:name w:val="Default Paragraph Font"/>
    <w:uiPriority w:val="1"/>
    <w:semiHidden/>
    <w:unhideWhenUsed/>
  </w:style>
  <w:style w:type="character" w:styleId="826">
    <w:name w:val="Основной текст Знак1"/>
    <w:rPr>
      <w:rFonts w:ascii="Arial" w:hAnsi="Arial" w:cs="Arial" w:eastAsia="Arial"/>
      <w:sz w:val="18"/>
    </w:rPr>
  </w:style>
  <w:style w:type="paragraph" w:styleId="827">
    <w:name w:val="ConsPlusNormal"/>
    <w:uiPriority w:val="0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8">
    <w:name w:val="ConsPlusTitle"/>
    <w:rPr>
      <w:rFonts w:ascii="Arial" w:hAnsi="Arial" w:cs="Arial" w:eastAsia="Arial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29" w:customStyle="1">
    <w:name w:val="Body Text 21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0" w:customStyle="1">
    <w:name w:val="Проектный"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1">
    <w:name w:val="Body Text 2"/>
    <w:semiHidden/>
    <w:rPr>
      <w:rFonts w:ascii="timesnewroman" w:hAnsi="timesnewroman" w:cs="timesnewroman" w:eastAsia="timesnew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2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3">
    <w:name w:val="Body Text Indent"/>
    <w:basedOn w:val="727"/>
    <w:link w:val="768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426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4">
    <w:name w:val="Body Text Indent 2"/>
    <w:basedOn w:val="727"/>
    <w:link w:val="762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5">
    <w:name w:val="Обычный"/>
    <w:next w:val="697"/>
    <w:link w:val="69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6">
    <w:name w:val="Основной текст с отступом 2"/>
    <w:semiHidden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1134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22</cp:revision>
  <dcterms:modified xsi:type="dcterms:W3CDTF">2023-06-16T07:23:16Z</dcterms:modified>
</cp:coreProperties>
</file>