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-190500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-15.0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2"/>
        <w:ind w:firstLine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2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19/80-1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tbl>
      <w:tblPr>
        <w:tblpPr w:horzAnchor="text" w:tblpX="184" w:vertAnchor="text" w:tblpY="40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  <w:szCs w:val="28"/>
                <w:lang w:val="ru-RU" w:bidi="ru-RU"/>
              </w:rPr>
              <w:t xml:space="preserve">О «горячей линии» Грайворонской территориальной избирательной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3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1"/>
        <w:ind w:right="425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9"/>
        <w:ind w:firstLine="708"/>
        <w:jc w:val="both"/>
        <w:spacing w:after="0" w:afterAutospacing="0" w:before="0" w:before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В соответствии с пунктом 4 статьи 20, пунктом 3 статьи 45 Федерального закона от 12 июня 2002 года №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67-ФЗ «Об основных гарантиях избирательных прав и права на участие в референдуме граждан Российской Федерации», частью 4 статьи 25, частью 3 статьи 53 Изб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ирательного кодекса Белгородской области, в целях широкого и объектив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ного информирования избирателей, организаторов выборов о ходе подготовки и проведения выборов депутатов Совета депутатов Грайворонского городского округа в единый день голосования 10 сентября 2023 года,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  <w:lang w:val="ru-RU" w:bidi="ru-RU"/>
        </w:rPr>
        <w:t xml:space="preserve">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42"/>
        <w:ind w:left="0" w:right="-38" w:firstLine="709"/>
        <w:jc w:val="both"/>
        <w:spacing w:lineRule="auto" w:line="276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Организовать с 16 июня по 10 сентября 2023 года функционирование «горячей линии» Грайворонской территориальной избирательной комиссии по телефонному каналу связи (847261)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4-52-57.</w:t>
      </w:r>
      <w:r>
        <w:rPr>
          <w:rFonts w:ascii="PT Astra Serif" w:hAnsi="PT Astra Serif" w:cs="PT Astra Serif" w:eastAsia="PT Astra Serif"/>
        </w:rPr>
      </w:r>
      <w:r/>
    </w:p>
    <w:p>
      <w:pPr>
        <w:pStyle w:val="842"/>
        <w:ind w:left="0" w:right="-38" w:firstLine="709"/>
        <w:jc w:val="both"/>
        <w:spacing w:lineRule="auto" w:line="276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Утвердить положение о «горячей линии» Грайворонской территориальной избирательной комиссии на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период подготовки и проведения выборов в единый день голосования 10 сентября 2023 года (прилагается).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 </w:t>
      </w:r>
      <w:r>
        <w:rPr>
          <w:rFonts w:ascii="PT Astra Serif" w:hAnsi="PT Astra Serif" w:cs="PT Astra Serif" w:eastAsia="PT Astra Serif"/>
        </w:rPr>
        <w:t xml:space="preserve">Секретарю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</w:rPr>
        <w:t xml:space="preserve">Л.А. Угольниковой</w:t>
      </w:r>
      <w:r>
        <w:rPr>
          <w:rFonts w:ascii="PT Astra Serif" w:hAnsi="PT Astra Serif" w:cs="PT Astra Serif" w:eastAsia="PT Astra Serif"/>
        </w:rPr>
        <w:t xml:space="preserve"> поручить проведение организационных мероприятий по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работе «горячей линии»</w:t>
      </w:r>
      <w:r>
        <w:rPr>
          <w:rFonts w:ascii="PT Astra Serif" w:hAnsi="PT Astra Serif" w:cs="PT Astra Serif" w:eastAsia="PT Astra Serif"/>
        </w:rPr>
        <w:t xml:space="preserve">, а также регистрацию всех обращений и механизм их разрешения.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sz w:val="28"/>
          <w:szCs w:val="24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Организовать совместно с председателями участковых избирательных комиссий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работу «горячих линий» по вопросам, связанным с подготовкой и проведением выборов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на избирательных участках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  <w:br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  <w:t xml:space="preserve">с 26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августа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по 7 сентября 2023 года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 16.00 час до 20.00 час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4"/>
          <w:highlight w:val="none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 Утвердить текст сообщения о работе «горячей линии» Грайворонской территориальной избирательной комиссии (прилагается).</w:t>
        <w:br/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Направить настоящее постановление для опубликования в газету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Родной край».</w:t>
      </w:r>
      <w:r>
        <w:rPr>
          <w:rFonts w:ascii="PT Astra Serif" w:hAnsi="PT Astra Serif" w:cs="PT Astra Serif" w:eastAsia="PT Astra Serif"/>
        </w:rPr>
      </w:r>
      <w:r/>
    </w:p>
    <w:p>
      <w:pPr>
        <w:pStyle w:val="839"/>
        <w:ind w:firstLine="708"/>
        <w:jc w:val="both"/>
        <w:spacing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азместить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постановление на страниц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ах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официальн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сайт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Избирательной комиссии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органов местного самоуправления Грайворонского городского округа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7. Контроль за исполнением настоящего постановления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председателя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670"/>
        <w:jc w:val="both"/>
        <w:tabs>
          <w:tab w:val="left" w:pos="708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0"/>
        <w:tabs>
          <w:tab w:val="left" w:pos="70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</w:rPr>
      </w:r>
      <w:r/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right"/>
              <w:keepNext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left"/>
              <w:keepNext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Приложение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УТВЕРЖДЕНО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постановлением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от 16 июня 2023 года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19/80-1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0" w:right="0" w:firstLine="0"/>
        <w:jc w:val="righ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ПОЛОЖЕНИЕ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br/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о «горячей линии»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на период подготовки и проведения выборов в единый день голосования 10 сентября 2023 года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4"/>
        <w:contextualSpacing w:val="true"/>
        <w:ind w:left="0" w:right="0" w:firstLine="0"/>
        <w:jc w:val="center"/>
        <w:spacing w:lineRule="auto" w:line="240" w:after="0"/>
        <w:tabs>
          <w:tab w:val="left" w:pos="0" w:leader="none"/>
          <w:tab w:val="left" w:pos="567" w:leader="none"/>
          <w:tab w:val="left" w:pos="3261" w:leader="none"/>
          <w:tab w:val="left" w:pos="3402" w:leader="none"/>
          <w:tab w:val="left" w:pos="3544" w:leader="none"/>
        </w:tabs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Общие положения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824"/>
        <w:numPr>
          <w:ilvl w:val="1"/>
          <w:numId w:val="5"/>
        </w:numPr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 Грайворонской территориальной избирательной комиссии (далее – Комиссия) в период подготовки и проведения выборов в единый день голосования 10 сентября 2023 года организуется работа «горячей линии». </w:t>
      </w:r>
      <w:r>
        <w:rPr>
          <w:rFonts w:ascii="PT Astra Serif" w:hAnsi="PT Astra Serif" w:cs="PT Astra Serif" w:eastAsia="PT Astra Serif"/>
        </w:rPr>
      </w:r>
      <w:r/>
    </w:p>
    <w:p>
      <w:pPr>
        <w:pStyle w:val="824"/>
        <w:numPr>
          <w:ilvl w:val="1"/>
          <w:numId w:val="5"/>
        </w:numPr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«Горячая линия» организуется по телефону 8 (47261) 4-52-57 в период подготовки и проведения выборов.</w:t>
      </w:r>
      <w:r>
        <w:rPr>
          <w:rFonts w:ascii="PT Astra Serif" w:hAnsi="PT Astra Serif" w:cs="PT Astra Serif" w:eastAsia="PT Astra Serif"/>
        </w:rPr>
      </w:r>
      <w:r/>
    </w:p>
    <w:p>
      <w:pPr>
        <w:pStyle w:val="824"/>
        <w:numPr>
          <w:ilvl w:val="1"/>
          <w:numId w:val="5"/>
        </w:numPr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 «горячей линии» участники избирательного процесса могут: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получить справочную информацию об особенностях реализации прав граждан на участие в выборах;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получить справочную информацию о порядке и сроках подачи заявлений о голосовании по месту нахождения;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получить справочную информацию о номерах избирательных участков, адресах и номерах телефонов соответствующих участковых и территориальных комиссий (адресах помещений для голосования), графике работы пунктов приема заявлений;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оставить информацию для сведения;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824"/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быть переадресованным по компетенции.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88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4"/>
        <w:contextualSpacing w:val="true"/>
        <w:ind w:left="0" w:right="0" w:firstLine="0"/>
        <w:jc w:val="center"/>
        <w:spacing w:lineRule="auto" w:line="288" w:after="0"/>
        <w:tabs>
          <w:tab w:val="left" w:pos="1276" w:leader="none"/>
          <w:tab w:val="left" w:pos="3825" w:leader="none"/>
        </w:tabs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Организация работы «горячей линии»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2.1.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Дежурство на «горячей линии» в рабочие и выходные дни обеспечивается членами Комиссии с правом решающего голоса и сотрудниками аппарата Комиссии. График дежурств утверждается постановлением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2.2.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Время дежурства на «горячей линии»: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понедельник-пятница – с 08.00 до 17.00 часов,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перерыв – с 12.00 до 13.00 часов;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 дни голосования 8, 9, 10, сентября 2023 года – с 8.00 до 20.00 часов.</w:t>
      </w:r>
      <w:r>
        <w:rPr>
          <w:rFonts w:ascii="PT Astra Serif" w:hAnsi="PT Astra Serif" w:cs="PT Astra Serif" w:eastAsia="PT Astra Serif"/>
        </w:rPr>
      </w:r>
      <w:r/>
    </w:p>
    <w:p>
      <w:pPr>
        <w:pStyle w:val="841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2.3.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 период дежурства ведется журнал обращений граждан на «горячую линию» (далее – журнал) по прилагаемой форме, в котором осуществляется запись телефонных сообщений, обращений и жалоб участников избирательного процесса.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color w:val="000000"/>
          <w:sz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2.4.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Дежурный на «горячей линии» при поступлении обращения фиксирует в журнале дату и время обращения, фамилию, имя и отчество обратившегося гражданина, его адрес и контактный телефон, суть обращения и дает разъяснения по существу обращения</w:t>
      </w:r>
      <w:r>
        <w:rPr>
          <w:rFonts w:ascii="PT Astra Serif" w:hAnsi="PT Astra Serif" w:cs="PT Astra Serif" w:eastAsia="PT Astra Serif"/>
        </w:rPr>
      </w:r>
      <w:r/>
    </w:p>
    <w:p>
      <w:pPr>
        <w:shd w:val="nil" w:fill="FFFFFF" w:color="FFFFFF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  <w:br w:type="page"/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p>
      <w:pPr>
        <w:pStyle w:val="839"/>
        <w:jc w:val="center"/>
        <w:spacing w:after="24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503"/>
        <w:gridCol w:w="506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839"/>
              <w:jc w:val="center"/>
              <w:spacing w:after="240" w:afterAutospacing="0" w:before="0" w:before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8" w:type="dxa"/>
            <w:vAlign w:val="top"/>
            <w:textDirection w:val="lrTb"/>
            <w:noWrap w:val="false"/>
          </w:tcPr>
          <w:p>
            <w:pPr>
              <w:pStyle w:val="839"/>
              <w:jc w:val="center"/>
              <w:spacing w:after="0" w:afterAutospacing="0" w:before="0" w:beforeAutospacing="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8"/>
              </w:rPr>
              <w:t xml:space="preserve">УТВЕРЖДЕНО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39"/>
              <w:jc w:val="center"/>
              <w:spacing w:after="0" w:afterAutospacing="0" w:before="0" w:beforeAutospacing="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постановлением Грайворонской территориальной избирательной комиссии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39"/>
              <w:jc w:val="center"/>
              <w:spacing w:after="0" w:afterAutospacing="0" w:before="0" w:beforeAutospacing="0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от 16 июня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 2023 года № 19/80-1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39"/>
              <w:jc w:val="center"/>
              <w:spacing w:after="240" w:afterAutospacing="0" w:before="0" w:before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</w:tbl>
    <w:p>
      <w:pPr>
        <w:pStyle w:val="839"/>
        <w:jc w:val="center"/>
        <w:spacing w:after="0" w:afterAutospacing="0" w:before="0" w:beforeAutospacing="0"/>
        <w:rPr>
          <w:rFonts w:ascii="PT Astra Serif" w:hAnsi="PT Astra Serif" w:cs="PT Astra Serif" w:eastAsia="PT Astra Serif"/>
          <w:color w:val="000000"/>
        </w:rPr>
      </w:pPr>
      <w:r>
        <w:rPr>
          <w:rStyle w:val="837"/>
          <w:rFonts w:ascii="PT Astra Serif" w:hAnsi="PT Astra Serif" w:cs="PT Astra Serif" w:eastAsia="PT Astra Serif"/>
          <w:color w:val="000000"/>
          <w:sz w:val="28"/>
          <w:szCs w:val="28"/>
        </w:rPr>
        <w:t xml:space="preserve">Сообщение</w:t>
      </w: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br/>
      </w:r>
      <w:r>
        <w:rPr>
          <w:rStyle w:val="837"/>
          <w:rFonts w:ascii="PT Astra Serif" w:hAnsi="PT Astra Serif" w:cs="PT Astra Serif" w:eastAsia="PT Astra Serif"/>
          <w:color w:val="000000"/>
          <w:sz w:val="28"/>
          <w:szCs w:val="28"/>
        </w:rPr>
        <w:t xml:space="preserve">об организации </w:t>
      </w:r>
      <w:r>
        <w:rPr>
          <w:rStyle w:val="837"/>
          <w:rFonts w:ascii="PT Astra Serif" w:hAnsi="PT Astra Serif" w:cs="PT Astra Serif" w:eastAsia="PT Astra Serif"/>
          <w:color w:val="000000"/>
          <w:sz w:val="28"/>
          <w:szCs w:val="28"/>
        </w:rPr>
        <w:t xml:space="preserve">работы</w:t>
      </w:r>
      <w:r>
        <w:rPr>
          <w:rStyle w:val="837"/>
          <w:rFonts w:ascii="PT Astra Serif" w:hAnsi="PT Astra Serif" w:cs="PT Astra Serif" w:eastAsia="PT Astra Serif"/>
          <w:color w:val="000000"/>
          <w:sz w:val="28"/>
          <w:szCs w:val="28"/>
        </w:rPr>
        <w:t xml:space="preserve"> «горячей линии»</w:t>
      </w:r>
      <w:r>
        <w:rPr>
          <w:rStyle w:val="837"/>
          <w:rFonts w:ascii="PT Astra Serif" w:hAnsi="PT Astra Serif" w:cs="PT Astra Serif" w:eastAsia="PT Astra Serif"/>
        </w:rPr>
      </w:r>
      <w:r/>
    </w:p>
    <w:p>
      <w:pPr>
        <w:pStyle w:val="839"/>
        <w:jc w:val="center"/>
        <w:spacing w:after="0" w:afterAutospacing="0" w:before="0" w:beforeAutospacing="0"/>
        <w:rPr>
          <w:rFonts w:ascii="PT Astra Serif" w:hAnsi="PT Astra Serif" w:cs="PT Astra Serif" w:eastAsia="PT Astra Serif"/>
          <w:color w:val="000000"/>
        </w:rPr>
      </w:pPr>
      <w:r>
        <w:rPr>
          <w:rStyle w:val="837"/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в период подготовки и проведения выборов депутатов Совета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в единый день голосования 10 сентября 2023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839"/>
        <w:jc w:val="center"/>
        <w:spacing w:after="0" w:afterAutospacing="0" w:before="0" w:beforeAutospacing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целях более полного и объективного информирования избирателей о ходе подготовки и проведения дополнительных выборов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Совета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депутатов Грайворонского городского округа второго созыва в 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диный день голосования 10 сентября 2023 года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разъяснения вопросов применения избирательного законодательства, оперативного рассмотрения обращений избирателей, повышения доверия граждан к институту выборов 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сообщает об организации работы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«горячей линии»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0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по телефону 8(47261) 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-52-57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с 16 июня по 10 сентября 2023 года в рабочие дни с 8.00 до 17.00 (перерыв с 12.00 до 13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.00 час);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709"/>
        <w:jc w:val="both"/>
        <w:rPr>
          <w:rFonts w:ascii="PT Astra Serif" w:hAnsi="PT Astra Serif" w:cs="PT Astra Serif" w:eastAsia="PT Astra Serif"/>
          <w:color w:val="00008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по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адресу электронной почты </w: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fldChar w:fldCharType="begin"/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 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HYPERLINK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 "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mailto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: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grayizbk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@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yandex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.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ru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" 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fldChar w:fldCharType="separate"/>
      </w:r>
      <w:r>
        <w:rPr>
          <w:rStyle w:val="838"/>
          <w:rFonts w:ascii="PT Astra Serif" w:hAnsi="PT Astra Serif" w:cs="PT Astra Serif" w:eastAsia="PT Astra Serif"/>
          <w:b/>
          <w:sz w:val="28"/>
          <w:szCs w:val="28"/>
          <w:lang w:val="en-US"/>
        </w:rPr>
        <w:t xml:space="preserve">grayizbk</w:t>
      </w:r>
      <w:r>
        <w:rPr>
          <w:rStyle w:val="838"/>
          <w:rFonts w:ascii="PT Astra Serif" w:hAnsi="PT Astra Serif" w:cs="PT Astra Serif" w:eastAsia="PT Astra Serif"/>
          <w:b/>
          <w:sz w:val="28"/>
          <w:szCs w:val="28"/>
        </w:rPr>
        <w:t xml:space="preserve">@</w:t>
      </w:r>
      <w:r>
        <w:rPr>
          <w:rStyle w:val="838"/>
          <w:rFonts w:ascii="PT Astra Serif" w:hAnsi="PT Astra Serif" w:cs="PT Astra Serif" w:eastAsia="PT Astra Serif"/>
          <w:b/>
          <w:sz w:val="28"/>
          <w:szCs w:val="28"/>
          <w:lang w:val="en-US"/>
        </w:rPr>
        <w:t xml:space="preserve">yandex</w:t>
      </w:r>
      <w:r>
        <w:rPr>
          <w:rStyle w:val="838"/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Style w:val="838"/>
          <w:rFonts w:ascii="PT Astra Serif" w:hAnsi="PT Astra Serif" w:cs="PT Astra Serif" w:eastAsia="PT Astra Serif"/>
          <w:b/>
          <w:sz w:val="28"/>
          <w:szCs w:val="28"/>
          <w:u w:val="none"/>
          <w:lang w:val="en-US"/>
        </w:rPr>
        <w:t xml:space="preserve">ru</w: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lang w:val="en-US"/>
        </w:rPr>
        <w:fldChar w:fldCharType="end"/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на страницах аккаунта «Грайворонская избирательная комиссия» в ВКонтакте и ОК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в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день голосования 10 сентября 2023 года «горячая линия» работает с 8.00 час. до 20.00 час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на избирательных участках с 26 августа по 7 сентября 2023 г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в р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абочие дни с 16.00 час до 20.00 час</w:t>
      </w:r>
      <w:r>
        <w:rPr>
          <w:rFonts w:ascii="PT Astra Serif" w:hAnsi="PT Astra Serif" w:cs="PT Astra Serif" w:eastAsia="PT Astra Serif"/>
          <w:b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43"/>
        <w:ind w:right="2552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23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p>
      <w:pPr>
        <w:pStyle w:val="823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p>
      <w:pPr>
        <w:ind w:left="7938" w:right="0" w:firstLine="0"/>
        <w:jc w:val="center"/>
        <w:spacing w:lineRule="auto" w:line="240" w:after="0"/>
        <w:tabs>
          <w:tab w:val="left" w:pos="2520" w:leader="none"/>
        </w:tabs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Приложение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ind w:left="7938" w:right="0" w:firstLine="0"/>
        <w:jc w:val="center"/>
        <w:spacing w:lineRule="auto" w:line="240" w:after="0"/>
        <w:tabs>
          <w:tab w:val="left" w:pos="2520" w:leader="none"/>
        </w:tabs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к положению о «горячей линии»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ind w:left="7938" w:right="0" w:firstLine="0"/>
        <w:jc w:val="center"/>
        <w:spacing w:lineRule="auto" w:line="240" w:after="0"/>
        <w:tabs>
          <w:tab w:val="left" w:pos="2520" w:leader="none"/>
          <w:tab w:val="left" w:pos="9356" w:leader="none"/>
        </w:tabs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Грайворонской территориальной избирательной комиссии</w:t>
      </w:r>
      <w:r/>
    </w:p>
    <w:p>
      <w:pPr>
        <w:ind w:left="7200" w:right="0" w:firstLine="0"/>
        <w:jc w:val="center"/>
        <w:spacing w:lineRule="auto" w:line="240" w:after="0"/>
        <w:tabs>
          <w:tab w:val="left" w:pos="2520" w:leader="none"/>
        </w:tabs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r>
      <w:r/>
    </w:p>
    <w:p>
      <w:pPr>
        <w:pStyle w:val="644"/>
        <w:ind w:left="0" w:right="0" w:firstLine="709"/>
        <w:jc w:val="center"/>
        <w:keepNext/>
        <w:spacing w:lineRule="auto" w:line="240" w:after="0" w:before="0"/>
        <w:rPr>
          <w:rFonts w:ascii="Times New Roman" w:hAnsi="Times New Roman" w:cs="Times New Roman" w:eastAsia="Times New Roman"/>
          <w:lang w:val="ru-RU" w:bidi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 w:bidi="ru-RU"/>
        </w:rPr>
        <w:t xml:space="preserve">Журнал обращений избирателей на «горячую линию»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 w:bidi="ru-RU"/>
        </w:rPr>
      </w:r>
      <w:r/>
    </w:p>
    <w:p>
      <w:pPr>
        <w:ind w:left="0" w:right="0" w:firstLine="720"/>
        <w:jc w:val="center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 w:bidi="ru-RU"/>
        </w:rPr>
        <w:t xml:space="preserve">Грайворонской территориальной избирательной комиссии</w:t>
      </w:r>
      <w:r/>
    </w:p>
    <w:p>
      <w:pPr>
        <w:ind w:left="0" w:right="0" w:firstLine="720"/>
        <w:jc w:val="left"/>
        <w:spacing w:lineRule="auto" w:line="240" w:after="0"/>
        <w:tabs>
          <w:tab w:val="left" w:pos="8160" w:leader="none"/>
        </w:tabs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12"/>
          <w:szCs w:val="12"/>
          <w:lang w:val="ru-RU" w:bidi="ru-RU"/>
        </w:rPr>
      </w:r>
      <w:r>
        <w:rPr>
          <w:rFonts w:ascii="Times New Roman" w:hAnsi="Times New Roman" w:cs="Times New Roman" w:eastAsia="Times New Roman"/>
          <w:b/>
          <w:bCs/>
          <w:sz w:val="12"/>
          <w:szCs w:val="12"/>
          <w:lang w:val="ru-RU" w:bidi="ru-RU"/>
        </w:rPr>
      </w:r>
      <w:r/>
    </w:p>
    <w:tbl>
      <w:tblPr>
        <w:tblStyle w:val="821"/>
        <w:tblW w:w="14992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2612"/>
        <w:gridCol w:w="2093"/>
        <w:gridCol w:w="3969"/>
        <w:gridCol w:w="1766"/>
        <w:gridCol w:w="2487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Населенный пункт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Контакты заявителя (Ф.И.О., адрес, телефон, адрес электронной почты)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46"/>
              <w:ind w:left="0" w:right="-85" w:firstLine="0"/>
              <w:jc w:val="center"/>
              <w:keepNext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2"/>
                <w:lang w:val="ru-RU" w:bidi="ru-RU"/>
              </w:rPr>
              <w:outlineLvl w:val="1"/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Содержание обращения</w:t>
            </w:r>
            <w:r/>
          </w:p>
          <w:p>
            <w:pPr>
              <w:pStyle w:val="646"/>
              <w:ind w:left="0" w:right="-85" w:firstLine="0"/>
              <w:jc w:val="center"/>
              <w:keepNext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2"/>
                <w:szCs w:val="22"/>
                <w:lang w:val="ru-RU" w:bidi="ru-RU"/>
              </w:rPr>
              <w:outlineLvl w:val="1"/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 избирателя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Куда заявитель обращался ранее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Предпринятые меры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  <w:t xml:space="preserve">Дата и время выполнения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bidi="ru-RU"/>
              </w:rPr>
            </w:r>
            <w:r/>
          </w:p>
        </w:tc>
      </w:tr>
    </w:tbl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sz w:val="20"/>
          <w:szCs w:val="20"/>
          <w:lang w:val="ru-RU" w:bidi="ru-RU"/>
        </w:rPr>
      </w:r>
      <w:r>
        <w:rPr>
          <w:rFonts w:ascii="Times New Roman" w:hAnsi="Times New Roman" w:cs="Times New Roman" w:eastAsia="Times New Roman"/>
          <w:i/>
          <w:iCs/>
          <w:sz w:val="20"/>
          <w:szCs w:val="20"/>
          <w:lang w:val="ru-RU" w:bidi="ru-RU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r>
      <w:r/>
    </w:p>
    <w:p>
      <w:pPr>
        <w:pStyle w:val="823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times new roman cyr">
    <w:panose1 w:val="02000603000000000000"/>
  </w:font>
  <w:font w:name="Courier New">
    <w:panose1 w:val="020704090202050204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70" w:hanging="1296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74" w:hanging="180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574" w:hanging="180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934" w:hanging="2160"/>
      </w:pPr>
      <w:rPr>
        <w:rFonts w:ascii="Times New Roman" w:hAnsi="Times New Roman" w:cs="Times New Roman"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  <w:style w:type="character" w:styleId="826">
    <w:name w:val="Основной текст Знак1"/>
    <w:rPr>
      <w:rFonts w:ascii="Arial" w:hAnsi="Arial" w:cs="Arial" w:eastAsia="Arial"/>
      <w:sz w:val="18"/>
    </w:rPr>
  </w:style>
  <w:style w:type="paragraph" w:styleId="827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1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2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33" w:customStyle="1">
    <w:name w:val="Гипертекстовая ссылка"/>
    <w:basedOn w:val="705"/>
    <w:uiPriority w:val="99"/>
    <w:rPr>
      <w:rFonts w:cs="Times New Roman"/>
      <w:color w:val="106BBE"/>
    </w:rPr>
  </w:style>
  <w:style w:type="paragraph" w:styleId="834" w:customStyle="1">
    <w:name w:val="ConsPlusNonformat"/>
    <w:uiPriority w:val="99"/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5">
    <w:name w:val="Plain Text"/>
    <w:basedOn w:val="700"/>
    <w:link w:val="737"/>
    <w:uiPriority w:val="99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6" w:customStyle="1">
    <w:name w:val="Нормальный (таблица)"/>
    <w:basedOn w:val="700"/>
    <w:next w:val="700"/>
    <w:uiPriority w:val="99"/>
    <w:rPr>
      <w:rFonts w:ascii="Times New Roman CYR" w:hAnsi="Times New Roman CYR" w:cs="Times New Roman CYR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37">
    <w:name w:val="Строгий"/>
    <w:basedOn w:val="681"/>
    <w:next w:val="703"/>
    <w:link w:val="671"/>
    <w:rPr>
      <w:b/>
      <w:bCs/>
    </w:rPr>
  </w:style>
  <w:style w:type="character" w:styleId="838">
    <w:name w:val="Гиперссылка"/>
    <w:basedOn w:val="681"/>
    <w:next w:val="710"/>
    <w:link w:val="671"/>
    <w:rPr>
      <w:color w:val="0000FF"/>
      <w:u w:val="single"/>
    </w:rPr>
  </w:style>
  <w:style w:type="paragraph" w:styleId="839">
    <w:name w:val="Обычный (веб)"/>
    <w:basedOn w:val="671"/>
    <w:next w:val="695"/>
    <w:link w:val="67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0">
    <w:name w:val="Основной текст"/>
    <w:basedOn w:val="671"/>
    <w:next w:val="685"/>
    <w:link w:val="67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1">
    <w:name w:val="Normal (Web)"/>
    <w:basedOn w:val="740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272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2">
    <w:name w:val="Body Text Indent"/>
    <w:basedOn w:val="740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3">
    <w:name w:val="Обычный"/>
    <w:next w:val="671"/>
    <w:link w:val="67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25</cp:revision>
  <dcterms:modified xsi:type="dcterms:W3CDTF">2023-06-16T12:27:53Z</dcterms:modified>
</cp:coreProperties>
</file>