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 w:right="-283"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ind w:left="0" w:right="-283" w:firstLine="0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ind w:left="0" w:right="-283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ind w:left="0" w:right="-283" w:firstLine="0"/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19/83-11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93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493" w:type="dxa"/>
            <w:vAlign w:val="top"/>
            <w:textDirection w:val="lrTb"/>
            <w:noWrap w:val="false"/>
          </w:tcPr>
          <w:p>
            <w:pPr>
              <w:pStyle w:val="829"/>
              <w:ind w:left="0" w:right="15" w:firstLine="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форме сведений о поступлении и расходовании средств избирательных фондов кандидатов, избирательных объед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инений, направляемой в редакции муниципальных периодических печатных изданий для обязательного опубликования и размещаемой Грайворонской территориальной избирательной комиссией в информационно - телекоммуникационной сети «Интернет» при проведении выборов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депутатов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10 сентября 2023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5"/>
              <w:ind w:left="0" w:right="15" w:firstLine="0"/>
              <w:widowControl/>
              <w:tabs>
                <w:tab w:val="left" w:pos="-5529" w:leader="none"/>
                <w:tab w:val="left" w:pos="-3402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9"/>
        <w:ind w:firstLine="708"/>
        <w:jc w:val="both"/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подпунктами 13, 14 статьи 58, </w:t>
      </w:r>
      <w:r>
        <w:rPr>
          <w:sz w:val="28"/>
          <w:szCs w:val="28"/>
        </w:rPr>
        <w:t xml:space="preserve">пунктом 8 </w:t>
      </w:r>
      <w:r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59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частями 15, 16 статьи 67, </w:t>
      </w:r>
      <w:r>
        <w:rPr>
          <w:sz w:val="28"/>
          <w:szCs w:val="28"/>
        </w:rPr>
        <w:t xml:space="preserve">частью 8 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 Избирательного кодекса Белгородской области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постановлением Избирательной комиссии Белгородской области от </w:t>
      </w:r>
      <w:r>
        <w:rPr>
          <w:sz w:val="28"/>
          <w:szCs w:val="28"/>
        </w:rPr>
        <w:t xml:space="preserve">17 мая 2023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41/436-7</w:t>
      </w:r>
      <w:r>
        <w:rPr>
          <w:sz w:val="28"/>
          <w:szCs w:val="28"/>
        </w:rPr>
        <w:t xml:space="preserve"> «О форме сведений о поступлении и расходовании средств избирательных фондов кандидатов, избирательных объединений, направляемой в редакции муниципальных периодических печатных изданий для обязательного опубликования и размещаемой </w:t>
      </w:r>
      <w:r>
        <w:rPr>
          <w:sz w:val="28"/>
          <w:szCs w:val="28"/>
        </w:rPr>
        <w:t xml:space="preserve">территориальными избирательными комиссиями</w:t>
      </w:r>
      <w:r>
        <w:rPr>
          <w:sz w:val="28"/>
          <w:szCs w:val="28"/>
        </w:rPr>
        <w:t xml:space="preserve"> в информационно - телекоммуникационной сети «Интернет» при проведении выборов депутатов представительных органов муниципальных образований Белгородской области»,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Грайворонская территориальная и</w:t>
      </w:r>
      <w:r>
        <w:rPr>
          <w:sz w:val="28"/>
          <w:szCs w:val="28"/>
        </w:rPr>
        <w:t xml:space="preserve">збирательная комиссия </w:t>
      </w:r>
      <w:r>
        <w:rPr>
          <w:b/>
          <w:sz w:val="28"/>
          <w:szCs w:val="28"/>
        </w:rPr>
        <w:t xml:space="preserve">постановляет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29"/>
        <w:ind w:firstLine="567"/>
        <w:jc w:val="both"/>
      </w:pPr>
      <w:r>
        <w:rPr>
          <w:sz w:val="28"/>
          <w:szCs w:val="28"/>
        </w:rPr>
        <w:t xml:space="preserve">1. </w:t>
      </w:r>
      <w:bookmarkStart w:id="0" w:name="_Hlk516675239"/>
      <w:r>
        <w:rPr>
          <w:sz w:val="28"/>
          <w:szCs w:val="28"/>
        </w:rPr>
        <w:t xml:space="preserve">Утвердить форму сведений о поступлении и расходовании средств избирательных фондов кандидатов, избирательных объединений, направляемой в редакции муниципальных периодических печатных изданий для обязательного опу</w:t>
      </w:r>
      <w:r>
        <w:rPr>
          <w:sz w:val="28"/>
          <w:szCs w:val="28"/>
        </w:rPr>
        <w:t xml:space="preserve">бликования и размещаемой Грайворонской территориальной избирательной комиссией в информационно - телекоммуникационной сети «Интернет» при проведении выборов депутатов Совета депутатов Грайворонского городского округа второго созыва </w:t>
        <w:br/>
        <w:t xml:space="preserve">10 сентября 2023 года</w:t>
      </w:r>
      <w:bookmarkEnd w:id="0"/>
      <w:r>
        <w:rPr>
          <w:sz w:val="28"/>
          <w:szCs w:val="28"/>
        </w:rPr>
        <w:t xml:space="preserve"> (прилагается)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830"/>
        <w:ind w:firstLine="567"/>
        <w:jc w:val="both"/>
      </w:pPr>
      <w:r>
        <w:rPr>
          <w:b w:val="false"/>
          <w:sz w:val="28"/>
          <w:szCs w:val="28"/>
        </w:rPr>
        <w:t xml:space="preserve">2</w:t>
      </w:r>
      <w:r>
        <w:rPr>
          <w:b w:val="false"/>
          <w:sz w:val="28"/>
          <w:szCs w:val="28"/>
        </w:rPr>
        <w:t xml:space="preserve">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/>
      <w:r/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5"/>
        <w:ind w:left="0" w:right="-283"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3. Контроль за исполнением настоящего постановления возложить на председателя Грайворонской территориальной избирательной комиссии С.В. Краснокутского.</w:t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УТВЕРЖДЕНЫ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</w:t>
        <w:br/>
        <w:t xml:space="preserve">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16 июня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19/83-1 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  <w:t xml:space="preserve">СВЕДЕНИЯ 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  <w:br/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  <w:t xml:space="preserve">о поступлении средств в избирательные фонды кандидатов, избирательных объединений и расходовании этих средств 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  <w:br/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(на основании данных, предоставленных филиалом ПАО Сбербанк)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4"/>
          <w:szCs w:val="24"/>
          <w:u w:val="single"/>
        </w:rPr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  <w:u w:val="single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4"/>
          <w:szCs w:val="24"/>
          <w:u w:val="single"/>
        </w:rPr>
        <w:t xml:space="preserve">Выборы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  <w:u w:val="single"/>
        </w:rPr>
        <w:t xml:space="preserve">второго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  <w:u w:val="single"/>
        </w:rPr>
        <w:t xml:space="preserve"> созыва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По состоянию на «___» ___________ 20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в рублях</w:t>
      </w:r>
      <w:r>
        <w:rPr>
          <w:rFonts w:ascii="PT Astra Serif" w:hAnsi="PT Astra Serif" w:cs="PT Astra Serif" w:eastAsia="PT Astra Serif"/>
          <w:b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501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1936"/>
        <w:gridCol w:w="788"/>
        <w:gridCol w:w="950"/>
        <w:gridCol w:w="1774"/>
        <w:gridCol w:w="950"/>
        <w:gridCol w:w="1133"/>
        <w:gridCol w:w="788"/>
        <w:gridCol w:w="1250"/>
        <w:gridCol w:w="950"/>
        <w:gridCol w:w="1454"/>
        <w:gridCol w:w="950"/>
        <w:gridCol w:w="1334"/>
      </w:tblGrid>
      <w:tr>
        <w:trPr>
          <w:cantSplit/>
        </w:trPr>
        <w:tc>
          <w:tcPr>
            <w:tcW w:w="560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Фамилия, имя, отчество кандидата/ Наименование избирательного объединения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5"/>
            <w:tcW w:w="5595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Поступило средств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4"/>
            <w:tcW w:w="4442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Израсходовано средств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2"/>
            <w:tcW w:w="228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Возвращено средств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  <w:tr>
        <w:trPr>
          <w:cantSplit/>
          <w:trHeight w:val="250"/>
        </w:trPr>
        <w:tc>
          <w:tcPr>
            <w:tcW w:w="56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93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всего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4"/>
            <w:tcW w:w="4807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из них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всего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3"/>
            <w:tcW w:w="365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из них финансовые операции по расходованию средств на сумму, превышающую 50 тыс.руб.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сумма, 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33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основание возврата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  <w:tr>
        <w:trPr>
          <w:cantSplit/>
          <w:trHeight w:val="250"/>
        </w:trPr>
        <w:tc>
          <w:tcPr>
            <w:tcW w:w="56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93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72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пожертвования от юридических лиц на сумму, превышающую 25 тыс.рублей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2"/>
            <w:tcW w:w="2083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пожертвования от граждан на сумму, превышающую 20 тыс.руб.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250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дата операции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сумма, 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45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назначение платежа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334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6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93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сумма, 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77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наименование юридического лица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сумма, руб.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кол-во граждан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25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454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334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24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936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77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133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2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45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334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936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77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133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45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33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936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77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133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88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2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45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1334" w:type="dxa"/>
            <w:vAlign w:val="top"/>
            <w:textDirection w:val="lrTb"/>
            <w:noWrap w:val="false"/>
          </w:tcPr>
          <w:p>
            <w:pPr>
              <w:pStyle w:val="819"/>
              <w:rPr>
                <w:rFonts w:ascii="PT Astra Serif" w:hAnsi="PT Astra Serif" w:cs="PT Astra Serif" w:eastAsia="PT Astra Serif"/>
                <w:color w:val="000000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</w:tbl>
    <w:p>
      <w:pPr>
        <w:pStyle w:val="81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170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Грайворонской территориальной избирательной комиссии</w:t>
        <w:tab/>
        <w:tab/>
        <w:t xml:space="preserve"> </w:t>
        <w:tab/>
        <w:tab/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__________________________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rPr>
          <w:rFonts w:ascii="PT Astra Serif" w:hAnsi="PT Astra Serif" w:cs="PT Astra Serif" w:eastAsia="PT Astra Serif"/>
          <w:b w:val="false"/>
          <w:sz w:val="20"/>
        </w:rPr>
      </w:pPr>
      <w:r>
        <w:rPr>
          <w:rFonts w:ascii="PT Astra Serif" w:hAnsi="PT Astra Serif" w:cs="PT Astra Serif" w:eastAsia="PT Astra Serif"/>
          <w:sz w:val="24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b w:val="false"/>
          <w:sz w:val="20"/>
        </w:rPr>
        <w:tab/>
        <w:t xml:space="preserve">(ини</w:t>
      </w:r>
      <w:r>
        <w:rPr>
          <w:rFonts w:ascii="PT Astra Serif" w:hAnsi="PT Astra Serif" w:cs="PT Astra Serif" w:eastAsia="PT Astra Serif"/>
          <w:b w:val="false"/>
          <w:sz w:val="20"/>
          <w:highlight w:val="none"/>
        </w:rPr>
        <w:t xml:space="preserve">циалы, фамилия)</w:t>
      </w:r>
      <w:r>
        <w:rPr>
          <w:rFonts w:ascii="PT Astra Serif" w:hAnsi="PT Astra Serif" w:cs="PT Astra Serif" w:eastAsia="PT Astra Serif"/>
          <w:b w:val="false"/>
          <w:sz w:val="20"/>
          <w:highlight w:val="yellow"/>
        </w:rPr>
      </w:r>
      <w:r>
        <w:rPr>
          <w:rFonts w:ascii="PT Astra Serif" w:hAnsi="PT Astra Serif" w:cs="PT Astra Serif" w:eastAsia="PT Astra Serif"/>
          <w:b w:val="false"/>
          <w:sz w:val="20"/>
          <w:highlight w:val="yellow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>
    <w:name w:val="Основной текст с отступом 2"/>
    <w:link w:val="641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1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8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2023-06-16T10:18:24Z</dcterms:modified>
</cp:coreProperties>
</file>