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41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42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2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2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1"/>
        <w:jc w:val="left"/>
        <w:tabs>
          <w:tab w:val="left" w:pos="5636" w:leader="none"/>
        </w:tabs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tab/>
      </w:r>
      <w:r/>
    </w:p>
    <w:p>
      <w:pPr>
        <w:pStyle w:val="843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41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</w:r>
      <w:r>
        <w:rPr>
          <w:sz w:val="32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41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07 июля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41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4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/19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30"/>
        <w:jc w:val="lef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pPr w:horzAnchor="page" w:tblpX="1773" w:vertAnchor="page" w:tblpY="4292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29"/>
      </w:tblGrid>
      <w:tr>
        <w:trPr>
          <w:trHeight w:val="1408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329" w:type="dxa"/>
            <w:vAlign w:val="top"/>
            <w:textDirection w:val="lrTb"/>
            <w:noWrap w:val="false"/>
          </w:tcPr>
          <w:p>
            <w:pPr>
              <w:pStyle w:val="830"/>
              <w:contextualSpacing w:val="false"/>
              <w:jc w:val="both"/>
              <w:spacing w:lineRule="auto" w:line="312"/>
              <w:widowControl/>
              <w:rPr>
                <w:rFonts w:ascii="PT Astra Serif" w:hAnsi="PT Astra Serif" w:cs="PT Astra Serif" w:eastAsia="PT Astra Serif"/>
                <w:b/>
                <w:sz w:val="28"/>
              </w:rPr>
              <w:framePr w:hSpace="180" w:wrap="around" w:vAnchor="text" w:hAnchor="text" w:x="19" w:y="61"/>
              <w:suppressLineNumbers w:val="0"/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 совместной работе Грайворонской территориальной избирательной комиссии и МКУК «Грайворонская централизованная библиотечная система» по повышению правовой культуры будущих и молодых избирателей</w:t>
            </w:r>
            <w:r/>
          </w:p>
        </w:tc>
      </w:tr>
    </w:tbl>
    <w:p>
      <w:pPr>
        <w:pStyle w:val="830"/>
        <w:jc w:val="lef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0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0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0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16"/>
          <w:szCs w:val="28"/>
        </w:rPr>
      </w:pPr>
      <w:r>
        <w:rPr>
          <w:rFonts w:ascii="PT Astra Serif" w:hAnsi="PT Astra Serif" w:cs="PT Astra Serif" w:eastAsia="PT Astra Serif"/>
          <w:sz w:val="16"/>
          <w:szCs w:val="28"/>
        </w:rPr>
      </w:r>
      <w:r>
        <w:rPr>
          <w:rFonts w:ascii="PT Astra Serif" w:hAnsi="PT Astra Serif" w:cs="PT Astra Serif" w:eastAsia="PT Astra Serif"/>
          <w:sz w:val="16"/>
          <w:szCs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16"/>
          <w:szCs w:val="28"/>
        </w:rPr>
      </w:pPr>
      <w:r>
        <w:rPr>
          <w:rFonts w:ascii="PT Astra Serif" w:hAnsi="PT Astra Serif" w:cs="PT Astra Serif" w:eastAsia="PT Astra Serif"/>
          <w:sz w:val="16"/>
          <w:szCs w:val="28"/>
        </w:rPr>
      </w:r>
      <w:r>
        <w:rPr>
          <w:rFonts w:ascii="PT Astra Serif" w:hAnsi="PT Astra Serif" w:cs="PT Astra Serif" w:eastAsia="PT Astra Serif"/>
          <w:sz w:val="16"/>
          <w:szCs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16"/>
          <w:szCs w:val="28"/>
        </w:rPr>
      </w:pPr>
      <w:r>
        <w:rPr>
          <w:rFonts w:ascii="PT Astra Serif" w:hAnsi="PT Astra Serif" w:cs="PT Astra Serif" w:eastAsia="PT Astra Serif"/>
          <w:sz w:val="16"/>
          <w:szCs w:val="28"/>
        </w:rPr>
      </w:r>
      <w:r>
        <w:rPr>
          <w:rFonts w:ascii="PT Astra Serif" w:hAnsi="PT Astra Serif" w:cs="PT Astra Serif" w:eastAsia="PT Astra Serif"/>
          <w:sz w:val="16"/>
          <w:szCs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16"/>
          <w:szCs w:val="28"/>
        </w:rPr>
      </w:pPr>
      <w:r>
        <w:rPr>
          <w:rFonts w:ascii="PT Astra Serif" w:hAnsi="PT Astra Serif" w:cs="PT Astra Serif" w:eastAsia="PT Astra Serif"/>
          <w:sz w:val="16"/>
          <w:szCs w:val="28"/>
        </w:rPr>
      </w:r>
      <w:r>
        <w:rPr>
          <w:rFonts w:ascii="PT Astra Serif" w:hAnsi="PT Astra Serif" w:cs="PT Astra Serif" w:eastAsia="PT Astra Serif"/>
          <w:sz w:val="16"/>
          <w:szCs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30"/>
        <w:ind w:firstLine="709"/>
        <w:widowControl/>
        <w:rPr>
          <w:rFonts w:ascii="PT Astra Serif" w:hAnsi="PT Astra Serif" w:cs="PT Astra Serif" w:eastAsia="PT Astra Serif"/>
          <w:color w:val="000000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Согласно тому, что </w:t>
      </w:r>
      <w:r>
        <w:t xml:space="preserve">повышение правовой культуры избирателей – одна из первостепенных задач, стоящих перед организаторами выборов, начинать работу необходимо с теми, кто сегодня только готови</w:t>
      </w:r>
      <w:r>
        <w:t xml:space="preserve">тся стать избирателем. Б</w:t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иблиотекари являются надежными помощниками ор</w:t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ганизаторов выборов. Многие из них активно участвуют в избирательном процессе в качестве председателей, секретарей и членов участковых избирательных комиссий. В период избирательных кампаний библиотеки становятся центром информирования по</w:t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 вопросам избирательного права. В библиотеках оформляются книжные выставки, проводятся конкурсы, викторины, дискуссии, встречи с кандидатами и их доверенными лицами.</w:t>
      </w:r>
      <w:r>
        <w:rPr>
          <w:rFonts w:ascii="PT Astra Serif" w:hAnsi="PT Astra Serif" w:cs="PT Astra Serif" w:eastAsia="PT Astra Serif"/>
          <w:color w:val="000000"/>
          <w:sz w:val="28"/>
          <w:highlight w:val="none"/>
        </w:rPr>
        <w:t xml:space="preserve"> Вследствие вышеперечисленного, Грайворонская территориальная избирательная комиссия</w:t>
      </w:r>
      <w:r>
        <w:rPr>
          <w:rFonts w:ascii="PT Astra Serif" w:hAnsi="PT Astra Serif" w:cs="PT Astra Serif" w:eastAsia="PT Astra Serif"/>
          <w:b/>
          <w:color w:val="000000"/>
          <w:sz w:val="28"/>
          <w:highlight w:val="none"/>
        </w:rPr>
        <w:t xml:space="preserve"> постановляет</w:t>
      </w:r>
      <w:r>
        <w:rPr>
          <w:rFonts w:ascii="PT Astra Serif" w:hAnsi="PT Astra Serif" w:cs="PT Astra Serif" w:eastAsia="PT Astra Serif"/>
          <w:color w:val="000000"/>
          <w:sz w:val="28"/>
          <w:highlight w:val="none"/>
        </w:rPr>
        <w:t xml:space="preserve">:</w:t>
      </w:r>
      <w:r>
        <w:rPr>
          <w:rFonts w:ascii="PT Astra Serif" w:hAnsi="PT Astra Serif" w:cs="PT Astra Serif" w:eastAsia="PT Astra Serif"/>
          <w:color w:val="000000"/>
          <w:sz w:val="28"/>
          <w:highlight w:val="none"/>
        </w:rPr>
      </w:r>
      <w:r/>
    </w:p>
    <w:p>
      <w:pPr>
        <w:pStyle w:val="830"/>
        <w:numPr>
          <w:ilvl w:val="0"/>
          <w:numId w:val="3"/>
        </w:numPr>
        <w:ind w:firstLine="709"/>
        <w:widowControl/>
        <w:rPr>
          <w:rFonts w:ascii="PT Astra Serif" w:hAnsi="PT Astra Serif" w:cs="PT Astra Serif" w:eastAsia="PT Astra Serif"/>
          <w:color w:val="000000"/>
          <w:sz w:val="28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highlight w:val="none"/>
        </w:rPr>
        <w:t xml:space="preserve">Заключить Соглашение </w:t>
      </w:r>
      <w:r>
        <w:rPr>
          <w:rFonts w:ascii="PT Astra Serif" w:hAnsi="PT Astra Serif" w:cs="PT Astra Serif" w:eastAsia="PT Astra Serif"/>
          <w:sz w:val="28"/>
        </w:rPr>
        <w:t xml:space="preserve">о сотрудничестве Грайворонской территориальной избирательной комиссии и МКУК «Грайворонская централизованная библиотечная система» в целях выполнения постановления Грайворонской территориальной избирательной комиссии от 23 июня 2022 года № 3/17-1</w:t>
      </w:r>
      <w:r>
        <w:rPr>
          <w:rFonts w:ascii="PT Astra Serif" w:hAnsi="PT Astra Serif" w:cs="PT Astra Serif" w:eastAsia="PT Astra Serif"/>
          <w:color w:val="000000"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bCs/>
        </w:rPr>
        <w:t xml:space="preserve">«О плане мероприятий</w:t>
      </w:r>
      <w:r>
        <w:rPr>
          <w:rFonts w:ascii="PT Astra Serif" w:hAnsi="PT Astra Serif" w:cs="PT Astra Serif" w:eastAsia="PT Astra Serif"/>
          <w:b w:val="false"/>
          <w:bCs/>
        </w:rPr>
        <w:t xml:space="preserve">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о обучению организаторов выборов и иных участников избирательного процесса, повышению правовой культуры избирателей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на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202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 год</w:t>
      </w:r>
      <w:r>
        <w:rPr>
          <w:rFonts w:ascii="PT Astra Serif" w:hAnsi="PT Astra Serif" w:cs="PT Astra Serif" w:eastAsia="PT Astra Serif"/>
          <w:b w:val="false"/>
        </w:rPr>
        <w:t xml:space="preserve">» (прилагается).</w:t>
      </w:r>
      <w:r/>
    </w:p>
    <w:p>
      <w:pPr>
        <w:pStyle w:val="830"/>
        <w:numPr>
          <w:ilvl w:val="0"/>
          <w:numId w:val="3"/>
        </w:numPr>
        <w:ind w:firstLine="709"/>
        <w:widowControl/>
      </w:pPr>
      <w:r>
        <w:rPr>
          <w:rFonts w:ascii="PT Astra Serif" w:hAnsi="PT Astra Serif" w:cs="PT Astra Serif" w:eastAsia="PT Astra Serif"/>
          <w:b w:val="false"/>
          <w:highlight w:val="none"/>
        </w:rPr>
        <w:t xml:space="preserve">Утвердить план</w:t>
      </w:r>
      <w:r>
        <w:rPr>
          <w:rFonts w:ascii="PT Astra Serif" w:hAnsi="PT Astra Serif" w:cs="PT Astra Serif" w:eastAsia="PT Astra Serif"/>
          <w:b w:val="false"/>
          <w:highlight w:val="none"/>
        </w:rPr>
        <w:t xml:space="preserve"> совместной</w:t>
      </w:r>
      <w:r>
        <w:rPr>
          <w:rFonts w:ascii="PT Astra Serif" w:hAnsi="PT Astra Serif" w:cs="PT Astra Serif" w:eastAsia="PT Astra Serif"/>
          <w:b w:val="false"/>
          <w:highlight w:val="none"/>
        </w:rPr>
        <w:t xml:space="preserve"> работы Грайворонской территориальной избирательной комиссии и МКУК «Грайворонская централизованная библиотечная система»</w:t>
      </w:r>
      <w:r>
        <w:t xml:space="preserve">, предусматривающий ряд мер, направленных на информационно-разъяснительную работу среди молодых и будущих избирателей, содействие правовому просвещению, повышению гражданской активности и правовой культуры молодежи района, на их готовность </w:t>
      </w:r>
      <w:r>
        <w:t xml:space="preserve">делать осознанный, ответственный выбор (прилагается).</w:t>
      </w:r>
      <w:r/>
    </w:p>
    <w:p>
      <w:pPr>
        <w:pStyle w:val="830"/>
        <w:numPr>
          <w:ilvl w:val="0"/>
          <w:numId w:val="3"/>
        </w:numPr>
        <w:ind w:firstLine="709"/>
        <w:widowControl/>
        <w:rPr>
          <w:rFonts w:ascii="PT Astra Serif" w:hAnsi="PT Astra Serif" w:cs="PT Astra Serif" w:eastAsia="PT Astra Serif"/>
          <w:color w:val="000000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65"/>
        <w:numPr>
          <w:ilvl w:val="0"/>
          <w:numId w:val="3"/>
        </w:numPr>
        <w:ind w:left="0" w:right="0"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  <w:t xml:space="preserve">Председатель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center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p>
      <w:pPr>
        <w:pStyle w:val="839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lef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к постановлению Грайворонской</w:t>
      </w:r>
      <w:r>
        <w:rPr>
          <w:sz w:val="24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  <w:szCs w:val="24"/>
          <w:highlight w:val="none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№4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/19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-1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от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07 июля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  <w:szCs w:val="24"/>
          <w:highlight w:val="none"/>
        </w:rPr>
      </w:pPr>
      <w:r>
        <w:rPr>
          <w:rFonts w:ascii="PT Astra Serif" w:hAnsi="PT Astra Serif" w:cs="PT Astra Serif" w:eastAsia="PT Astra Serif"/>
          <w:sz w:val="24"/>
          <w:szCs w:val="24"/>
          <w:highlight w:val="none"/>
        </w:rPr>
      </w:r>
      <w:r>
        <w:rPr>
          <w:rFonts w:ascii="PT Astra Serif" w:hAnsi="PT Astra Serif" w:cs="PT Astra Serif" w:eastAsia="PT Astra Serif"/>
          <w:sz w:val="24"/>
          <w:szCs w:val="24"/>
          <w:highlight w:val="none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СОГЛАШЕНИЕ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  <w:br/>
      </w:r>
      <w:r>
        <w:rPr>
          <w:rFonts w:ascii="PT Astra Serif" w:hAnsi="PT Astra Serif" w:cs="PT Astra Serif" w:eastAsia="PT Astra Serif"/>
          <w:b/>
          <w:sz w:val="28"/>
        </w:rPr>
        <w:t xml:space="preserve">о сотрудничестве Грайворонской территориальной избирательной комиссии и МКУК «Грайворонская централизованная библиотечная система»</w:t>
      </w:r>
      <w:r>
        <w:rPr>
          <w:b/>
        </w:rPr>
      </w:r>
      <w:r/>
    </w:p>
    <w:p>
      <w:pPr>
        <w:ind w:firstLine="56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целях выполнения </w:t>
      </w:r>
      <w:r>
        <w:rPr>
          <w:rFonts w:ascii="PT Astra Serif" w:hAnsi="PT Astra Serif" w:cs="PT Astra Serif" w:eastAsia="PT Astra Serif"/>
          <w:sz w:val="28"/>
        </w:rPr>
        <w:t xml:space="preserve">постановления Грайворонской территориальной избирательной комиссии от 23 июня 2022 года № 3/17-1</w:t>
      </w:r>
      <w:r>
        <w:rPr>
          <w:rFonts w:ascii="PT Astra Serif" w:hAnsi="PT Astra Serif" w:cs="PT Astra Serif" w:eastAsia="PT Astra Serif"/>
          <w:color w:val="000000"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bCs/>
        </w:rPr>
        <w:t xml:space="preserve">«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О плане мероприятий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о обучен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ию организаторов выборов и иных участников избирательного процесса, повышению правовой культуры избирателей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на 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202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 w:val="false"/>
          <w:bCs/>
          <w:color w:val="000000"/>
          <w:sz w:val="28"/>
          <w:szCs w:val="28"/>
        </w:rPr>
        <w:t xml:space="preserve"> год</w:t>
      </w:r>
      <w:r>
        <w:rPr>
          <w:rFonts w:ascii="PT Astra Serif" w:hAnsi="PT Astra Serif" w:cs="PT Astra Serif" w:eastAsia="PT Astra Serif"/>
          <w:b w:val="false"/>
        </w:rPr>
        <w:t xml:space="preserve">»</w:t>
      </w:r>
      <w:r>
        <w:rPr>
          <w:rFonts w:ascii="PT Astra Serif" w:hAnsi="PT Astra Serif" w:cs="PT Astra Serif" w:eastAsia="PT Astra Serif"/>
          <w:sz w:val="28"/>
        </w:rPr>
        <w:t xml:space="preserve">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sz w:val="28"/>
        </w:rPr>
        <w:t xml:space="preserve">в лице председателя Краснокутского Сергея Викторовича и МКУК «Грайворонская централизованная библиотечная система» в лице директора Сирота Ларисы Михайловны, именуемые далее Сторонами, заключили Соглаше</w:t>
      </w:r>
      <w:r>
        <w:rPr>
          <w:rFonts w:ascii="PT Astra Serif" w:hAnsi="PT Astra Serif" w:cs="PT Astra Serif" w:eastAsia="PT Astra Serif"/>
          <w:sz w:val="28"/>
        </w:rPr>
        <w:t xml:space="preserve">ние о нижеследующем: </w:t>
      </w:r>
      <w:r/>
    </w:p>
    <w:p>
      <w:pPr>
        <w:ind w:firstLine="567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I. ПРЕДМЕТ СОГЛАШЕНИЯ </w:t>
      </w:r>
      <w:r/>
    </w:p>
    <w:p>
      <w:pPr>
        <w:ind w:firstLine="56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  <w:br/>
        <w:tab/>
      </w:r>
      <w:r>
        <w:rPr>
          <w:rFonts w:ascii="PT Astra Serif" w:hAnsi="PT Astra Serif" w:cs="PT Astra Serif" w:eastAsia="PT Astra Serif"/>
          <w:sz w:val="28"/>
        </w:rPr>
        <w:t xml:space="preserve">Предметом настоящего Соглашения является совершенствование организации взаимодействия Грайворонской территориальной избирательной комиссии и МКУК «Грайворонская централизованная библиотечная система» в целях </w:t>
      </w:r>
      <w:r>
        <w:rPr>
          <w:rFonts w:ascii="PT Astra Serif" w:hAnsi="PT Astra Serif" w:cs="PT Astra Serif" w:eastAsia="PT Astra Serif"/>
          <w:sz w:val="28"/>
        </w:rPr>
        <w:t xml:space="preserve">содействия правовому просвещению, повышению гражданской активности и правовой культуры молодежи района, на их готовность </w:t>
      </w:r>
      <w:r>
        <w:rPr>
          <w:rFonts w:ascii="PT Astra Serif" w:hAnsi="PT Astra Serif" w:cs="PT Astra Serif" w:eastAsia="PT Astra Serif"/>
          <w:sz w:val="28"/>
        </w:rPr>
        <w:t xml:space="preserve">делать осознанный, ответственный выбор</w:t>
      </w:r>
      <w: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на территории Грайворонского городского округа. </w:t>
      </w:r>
      <w:r/>
    </w:p>
    <w:p>
      <w:pPr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II. ПРИНЦИПЫ ВЗАИМОДЕЙСТИЯ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2.1. Стороны при организации взаимодействия и координации деятельности по вопросам предмета настоящего соглашения руководствуются следующи</w:t>
      </w:r>
      <w:r>
        <w:rPr>
          <w:rFonts w:ascii="PT Astra Serif" w:hAnsi="PT Astra Serif" w:cs="PT Astra Serif" w:eastAsia="PT Astra Serif"/>
          <w:sz w:val="28"/>
        </w:rPr>
        <w:t xml:space="preserve">ми принципами: </w:t>
        <w:br/>
      </w:r>
      <w:r>
        <w:rPr>
          <w:rFonts w:ascii="PT Astra Serif" w:hAnsi="PT Astra Serif" w:cs="PT Astra Serif" w:eastAsia="PT Astra Serif"/>
          <w:sz w:val="28"/>
        </w:rPr>
        <w:t xml:space="preserve">2.1.1. Самостоятельность в реализации собственных задач и полномочий, а также в обработке форм и методов использования собственных сил и средств; 2.1.2. Независимость в принятии решений и осуществлении возложенных на Стороны функций;</w:t>
        <w:br/>
        <w:t xml:space="preserve">2.1.3. </w:t>
      </w:r>
      <w:r>
        <w:rPr>
          <w:rFonts w:ascii="PT Astra Serif" w:hAnsi="PT Astra Serif" w:cs="PT Astra Serif" w:eastAsia="PT Astra Serif"/>
          <w:sz w:val="28"/>
        </w:rPr>
        <w:t xml:space="preserve">Разграничение функций и выполняемых работ при проведении совместных мероприятий; </w:t>
        <w:br/>
        <w:t xml:space="preserve">2.1.4. Своевременность и оперативность; </w:t>
        <w:br/>
        <w:t xml:space="preserve">2.1.5. Обязательность исполнения достигнутых Сторонами договоренностей. </w:t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III. НАПРАВЛЕНИЯ ВЗАИМОДЕЙСТВИЯ </w:t>
      </w:r>
      <w:r>
        <w:rPr>
          <w:b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3.1. Сотрудничество сторон в ра</w:t>
      </w:r>
      <w:r>
        <w:rPr>
          <w:rFonts w:ascii="PT Astra Serif" w:hAnsi="PT Astra Serif" w:cs="PT Astra Serif" w:eastAsia="PT Astra Serif"/>
          <w:sz w:val="28"/>
        </w:rPr>
        <w:t xml:space="preserve">мк</w:t>
      </w:r>
      <w:r>
        <w:rPr>
          <w:rFonts w:ascii="PT Astra Serif" w:hAnsi="PT Astra Serif" w:cs="PT Astra Serif" w:eastAsia="PT Astra Serif"/>
          <w:sz w:val="28"/>
        </w:rPr>
        <w:t xml:space="preserve">ах настоящего Соглашения осуществляется по следующим основным направлениям: </w:t>
        <w:br/>
        <w:t xml:space="preserve">3.1.1. Проведение совместных мероприятий по повышению правовой и политической культуры избирателей; </w:t>
        <w:br/>
        <w:t xml:space="preserve">3.1.2. Оказание содействия в проводимых одной из сторон мероприятий по повышен</w:t>
      </w:r>
      <w:r>
        <w:rPr>
          <w:rFonts w:ascii="PT Astra Serif" w:hAnsi="PT Astra Serif" w:cs="PT Astra Serif" w:eastAsia="PT Astra Serif"/>
          <w:sz w:val="28"/>
        </w:rPr>
        <w:t xml:space="preserve">ию правовой и политической культуры и информированию избирателей; </w:t>
        <w:br/>
        <w:t xml:space="preserve">3.1.3. Информирование избирателей путем оформления стендов в библиотеках Грайворонского городского округа с информацией о выборах; </w:t>
        <w:br/>
        <w:t xml:space="preserve">3.1.4. Подбор и предоставление неконфиденциальной инфо</w:t>
      </w:r>
      <w:r>
        <w:rPr>
          <w:rFonts w:ascii="PT Astra Serif" w:hAnsi="PT Astra Serif" w:cs="PT Astra Serif" w:eastAsia="PT Astra Serif"/>
          <w:sz w:val="28"/>
        </w:rPr>
        <w:t xml:space="preserve">рмации по запросам одной из Сторон. </w:t>
      </w:r>
      <w:r/>
    </w:p>
    <w:p>
      <w:pPr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br/>
        <w:br/>
      </w:r>
      <w:r>
        <w:rPr>
          <w:rFonts w:ascii="PT Astra Serif" w:hAnsi="PT Astra Serif" w:cs="PT Astra Serif" w:eastAsia="PT Astra Serif"/>
          <w:b/>
          <w:sz w:val="28"/>
        </w:rPr>
        <w:t xml:space="preserve">IV. ПОРЯДОК ВЗАИМОДЕЙСТВИЯ </w:t>
      </w:r>
      <w:r>
        <w:rPr>
          <w:rFonts w:ascii="PT Astra Serif" w:hAnsi="PT Astra Serif" w:cs="PT Astra Serif" w:eastAsia="PT Astra Serif"/>
          <w:sz w:val="28"/>
        </w:rPr>
        <w:br/>
      </w:r>
      <w:r/>
    </w:p>
    <w:p>
      <w:pPr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</w:rPr>
        <w:br/>
        <w:t xml:space="preserve">4.1. Стороны в пределах установленной компетенции осуществляют взаимодействие по следующим основным направлениям: </w:t>
        <w:br/>
        <w:t xml:space="preserve">4.1.1. Проведение совместных мероприятий по повышению правовой и политической к</w:t>
      </w:r>
      <w:r>
        <w:rPr>
          <w:rFonts w:ascii="PT Astra Serif" w:hAnsi="PT Astra Serif" w:cs="PT Astra Serif" w:eastAsia="PT Astra Serif"/>
          <w:sz w:val="28"/>
        </w:rPr>
        <w:t xml:space="preserve">ул</w:t>
      </w:r>
      <w:r>
        <w:rPr>
          <w:rFonts w:ascii="PT Astra Serif" w:hAnsi="PT Astra Serif" w:cs="PT Astra Serif" w:eastAsia="PT Astra Serif"/>
          <w:sz w:val="28"/>
        </w:rPr>
        <w:t xml:space="preserve">ьтуры молодых и бу</w:t>
      </w:r>
      <w:r>
        <w:rPr>
          <w:rFonts w:ascii="PT Astra Serif" w:hAnsi="PT Astra Serif" w:cs="PT Astra Serif" w:eastAsia="PT Astra Serif"/>
          <w:sz w:val="28"/>
        </w:rPr>
        <w:t xml:space="preserve">дущих избирателей; </w:t>
        <w:br/>
        <w:t xml:space="preserve">4.1.2. Взаимный информационный обмен по всем вопросам, отнесенным к предмету настоящего Соглашения; </w:t>
        <w:br/>
        <w:t xml:space="preserve">4.1.3. Взаимные консультации по вопросам, входящим в компетенцию каждой из Сторон, а также проведение по мере необходимости совместных </w:t>
      </w:r>
      <w:r>
        <w:rPr>
          <w:rFonts w:ascii="PT Astra Serif" w:hAnsi="PT Astra Serif" w:cs="PT Astra Serif" w:eastAsia="PT Astra Serif"/>
          <w:sz w:val="28"/>
        </w:rPr>
        <w:t xml:space="preserve">совещаний, рабочих встреч и тематических семинаров; </w:t>
        <w:br/>
        <w:t xml:space="preserve">4.1.4. В целях совершенствования взаимодействия Сторонам</w:t>
      </w:r>
      <w:r>
        <w:rPr>
          <w:rFonts w:ascii="PT Astra Serif" w:hAnsi="PT Astra Serif" w:cs="PT Astra Serif" w:eastAsia="PT Astra Serif"/>
          <w:sz w:val="28"/>
        </w:rPr>
        <w:t xml:space="preserve">и между библиотечной системой и территориальной избирательной системой могут проводиться семинары, совещания, выпускаться материалы по координации действий; </w:t>
        <w:br/>
        <w:t xml:space="preserve">4.1.5. Для осуществления мероприят</w:t>
      </w:r>
      <w:r>
        <w:rPr>
          <w:rFonts w:ascii="PT Astra Serif" w:hAnsi="PT Astra Serif" w:cs="PT Astra Serif" w:eastAsia="PT Astra Serif"/>
          <w:sz w:val="28"/>
        </w:rPr>
        <w:t xml:space="preserve">ий взаимодействия и координации совместной деятельности на всех уровнях могут создаваться рабочие группы из числа членов избирательной комиссии и работников МКУК «Грайворонская ЦБС». </w:t>
        <w:br/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br/>
      </w:r>
      <w:r>
        <w:rPr>
          <w:rFonts w:ascii="PT Astra Serif" w:hAnsi="PT Astra Serif" w:cs="PT Astra Serif" w:eastAsia="PT Astra Serif"/>
          <w:b/>
          <w:sz w:val="28"/>
        </w:rPr>
        <w:t xml:space="preserve">V. ЗАКЛЮЧИТЕЛЬНЫЕ ПОЛОЖЕНИЯ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br/>
        <w:t xml:space="preserve">5.1. Настоящее Соглашение:</w:t>
        <w:br/>
        <w:t xml:space="preserve">5.1.1. Вступает в силу с момента его подписания и действует на период полномочий Грайворонской ТИК; </w:t>
        <w:br/>
        <w:t xml:space="preserve">5.1.2. Может быть расторгнуто по инициативе любой из Сторон, о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чем необходимо письменно уведомить другую Сторону не позднее, чем за один месяц до дня его расторжения; </w:t>
        <w:br/>
        <w:t xml:space="preserve">5.1.3. Составлено в двух экземплярах, имеющих одинаковую юридическую силу, по одному экземпляру для каждой из Сторон.</w:t>
        <w:br/>
        <w:t xml:space="preserve">5.2. При совершении действий по р</w:t>
      </w:r>
      <w:r>
        <w:rPr>
          <w:rFonts w:ascii="PT Astra Serif" w:hAnsi="PT Astra Serif" w:cs="PT Astra Serif" w:eastAsia="PT Astra Serif"/>
          <w:sz w:val="28"/>
        </w:rPr>
        <w:t xml:space="preserve">еализации на</w:t>
      </w:r>
      <w:r>
        <w:rPr>
          <w:rFonts w:ascii="PT Astra Serif" w:hAnsi="PT Astra Serif" w:cs="PT Astra Serif" w:eastAsia="PT Astra Serif"/>
          <w:sz w:val="28"/>
        </w:rPr>
        <w:t xml:space="preserve">стоящего Соглашения и в иных, не упомянутых в Соглашении случаях, Стороны руководствуются законодательством Российской Федерации. </w:t>
        <w:br/>
        <w:t xml:space="preserve">5.3. Действия сторон по реализации настоящего Соглашения координирует: от Грайворонской территориальной избирательной системы</w:t>
      </w:r>
      <w:r>
        <w:rPr>
          <w:rFonts w:ascii="PT Astra Serif" w:hAnsi="PT Astra Serif" w:cs="PT Astra Serif" w:eastAsia="PT Astra Serif"/>
          <w:sz w:val="28"/>
        </w:rPr>
        <w:t xml:space="preserve"> – председатель комиссии Краснокутский С.В. или лицо, его заменяющее; от МКУК «Грайворонская централизованная библиотечная система» – Сирота Л.М.</w:t>
      </w:r>
      <w:r/>
    </w:p>
    <w:p>
      <w:pPr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VI. ПОДПИСИ СТОРОН</w:t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</w:rPr>
              <w:t xml:space="preserve">райворонская </w:t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</w:rPr>
              <w:t xml:space="preserve">территориальная избирательная комиссия</w:t>
            </w:r>
            <w:r>
              <w:rPr>
                <w:b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  <w:t xml:space="preserve">Председатель </w:t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  <w:t xml:space="preserve">Грайворонской ТИК: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  <w:t xml:space="preserve">_______________С.В. Краснокутский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  <w:t xml:space="preserve">_______________________________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8"/>
                <w:highlight w:val="none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highlight w:val="yellow"/>
              </w:rPr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highlight w:val="yellow"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highlight w:val="yellow"/>
              </w:rPr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highlight w:val="yellow"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color w:val="000000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highlight w:val="none"/>
              </w:rPr>
              <w:t xml:space="preserve">МП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highlight w:val="none"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</w:rPr>
              <w:t xml:space="preserve">МКУК «Грайворонская централизованная библиотечная система»</w:t>
            </w:r>
            <w:r>
              <w:rPr>
                <w:b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  <w:t xml:space="preserve">Директор МКУК </w:t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  <w:t xml:space="preserve">«Грайворонская ЦБС»: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  <w:t xml:space="preserve">_______________Л.М. Сирота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  <w:t xml:space="preserve">________________________________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8"/>
                <w:highlight w:val="none"/>
              </w:rPr>
              <w:t xml:space="preserve">(дата)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8"/>
                <w:highlight w:val="none"/>
              </w:rPr>
            </w:r>
            <w:r/>
          </w:p>
          <w:p>
            <w:pPr>
              <w:pStyle w:val="841"/>
              <w:jc w:val="center"/>
              <w:rPr>
                <w:rFonts w:ascii="PT Astra Serif" w:hAnsi="PT Astra Serif" w:cs="PT Astra Serif" w:eastAsia="PT Astra Serif"/>
                <w:b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  <w:t xml:space="preserve">МП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  <w:highlight w:val="none"/>
              </w:rPr>
            </w:r>
            <w:r/>
          </w:p>
        </w:tc>
      </w:tr>
    </w:tbl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lef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lef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Приложение 2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УТВЕРЖДЕН</w:t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постановлением Грайворонской</w:t>
      </w:r>
      <w:r>
        <w:rPr>
          <w:sz w:val="24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территориальной избирательной комиссии</w:t>
      </w:r>
      <w:r>
        <w:rPr>
          <w:sz w:val="24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от 07 июля 2022 года № 4/19-1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  <w:color w:val="FFFFFF"/>
        </w:rPr>
      </w:pPr>
      <w:r>
        <w:rPr>
          <w:rFonts w:ascii="PT Astra Serif" w:hAnsi="PT Astra Serif" w:cs="PT Astra Serif" w:eastAsia="PT Astra Serif"/>
          <w:color w:val="FFFFFF"/>
        </w:rPr>
        <w:t xml:space="preserve"> </w:t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План </w:t>
      </w:r>
      <w:r>
        <w:rPr>
          <w:rFonts w:ascii="PT Astra Serif" w:hAnsi="PT Astra Serif" w:cs="PT Astra Serif" w:eastAsia="PT Astra Serif"/>
          <w:b/>
          <w:sz w:val="28"/>
          <w:highlight w:val="none"/>
        </w:rPr>
        <w:t xml:space="preserve">совместный работы Грайворонской территориальной избирательной комиссии и МКУК «Грайворонская централизованная библиотечная система» на 2022 год.</w:t>
      </w:r>
      <w:r>
        <w:rPr>
          <w:b/>
        </w:rPr>
      </w:r>
      <w:r/>
    </w:p>
    <w:tbl>
      <w:tblPr>
        <w:tblStyle w:val="68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1843"/>
        <w:gridCol w:w="2835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Наименование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мероприятия</w:t>
            </w: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Срок проведения</w:t>
            </w: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  <w:t xml:space="preserve">Ответственный </w:t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  <w:t xml:space="preserve">за проведение</w:t>
            </w:r>
            <w:r>
              <w:rPr>
                <w:rFonts w:ascii="PT Astra Serif" w:hAnsi="PT Astra Serif" w:cs="PT Astra Serif" w:eastAsia="PT Astra Serif"/>
                <w:b/>
                <w:sz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Анкетирование молодых и будущих избирателей: «Ваши информационные потребности»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июль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ТИК,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ЦБС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Изготовление информационного стенда «Мы информируем, вам выбирать»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август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ТИК,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ЦБС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Проведение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Дня информации «Новая молодежь – новое правовое сознание»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сентябрь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ТИК,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ЦБС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Тематическая папка «Открой новую с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траницу жизни. Стань избирателем!»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октябрь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ТИК,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ЦБС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Изготовление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информационных буклетов: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- «Единый день голосования в России»;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- «Что такое «праймериз» и для чего их проводят»;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- «Избирательный бюллетень: что мы о нем знаем?»;</w:t>
              <w:br/>
              <w:t xml:space="preserve">- «Голосование на дому»;</w:t>
              <w:br/>
              <w:t xml:space="preserve"> - «Депутат. Кто это тако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й?».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ноябрь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ТИК,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ЦБС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Видеолекторий для молодых и будущих избирателей 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«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Из истории выборов»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декабрь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ТИК,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Грайворонская ЦБС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  <w:sz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850" w:right="567" w:bottom="85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1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1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567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5"/>
    <w:next w:val="825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7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5"/>
    <w:next w:val="825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7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5"/>
    <w:next w:val="825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7"/>
    <w:link w:val="652"/>
    <w:uiPriority w:val="9"/>
    <w:rPr>
      <w:rFonts w:ascii="Arial" w:hAnsi="Arial" w:cs="Arial" w:eastAsia="Arial"/>
      <w:sz w:val="30"/>
      <w:szCs w:val="30"/>
    </w:rPr>
  </w:style>
  <w:style w:type="character" w:styleId="654">
    <w:name w:val="Heading 4 Char"/>
    <w:basedOn w:val="827"/>
    <w:link w:val="826"/>
    <w:uiPriority w:val="9"/>
    <w:rPr>
      <w:rFonts w:ascii="Arial" w:hAnsi="Arial" w:cs="Arial" w:eastAsia="Arial"/>
      <w:b/>
      <w:bCs/>
      <w:sz w:val="26"/>
      <w:szCs w:val="26"/>
    </w:rPr>
  </w:style>
  <w:style w:type="paragraph" w:styleId="655">
    <w:name w:val="Heading 5"/>
    <w:basedOn w:val="825"/>
    <w:next w:val="825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>
    <w:name w:val="Heading 5 Char"/>
    <w:basedOn w:val="827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825"/>
    <w:next w:val="825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8">
    <w:name w:val="Heading 6 Char"/>
    <w:basedOn w:val="827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825"/>
    <w:next w:val="825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0">
    <w:name w:val="Heading 7 Char"/>
    <w:basedOn w:val="827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>
    <w:name w:val="Heading 8"/>
    <w:basedOn w:val="825"/>
    <w:next w:val="825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2">
    <w:name w:val="Heading 8 Char"/>
    <w:basedOn w:val="827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basedOn w:val="825"/>
    <w:next w:val="825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>
    <w:name w:val="Heading 9 Char"/>
    <w:basedOn w:val="827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List Paragraph"/>
    <w:basedOn w:val="825"/>
    <w:qFormat/>
    <w:uiPriority w:val="34"/>
    <w:pPr>
      <w:contextualSpacing w:val="true"/>
      <w:ind w:left="720"/>
    </w:pPr>
  </w:style>
  <w:style w:type="paragraph" w:styleId="666">
    <w:name w:val="No Spacing"/>
    <w:qFormat/>
    <w:uiPriority w:val="1"/>
    <w:pPr>
      <w:spacing w:lineRule="auto" w:line="240" w:after="0" w:before="0"/>
    </w:pPr>
  </w:style>
  <w:style w:type="paragraph" w:styleId="667">
    <w:name w:val="Title"/>
    <w:basedOn w:val="825"/>
    <w:next w:val="825"/>
    <w:link w:val="6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8">
    <w:name w:val="Title Char"/>
    <w:basedOn w:val="827"/>
    <w:link w:val="667"/>
    <w:uiPriority w:val="10"/>
    <w:rPr>
      <w:sz w:val="48"/>
      <w:szCs w:val="48"/>
    </w:rPr>
  </w:style>
  <w:style w:type="paragraph" w:styleId="669">
    <w:name w:val="Subtitle"/>
    <w:basedOn w:val="825"/>
    <w:next w:val="825"/>
    <w:link w:val="670"/>
    <w:qFormat/>
    <w:uiPriority w:val="11"/>
    <w:rPr>
      <w:sz w:val="24"/>
      <w:szCs w:val="24"/>
    </w:rPr>
    <w:pPr>
      <w:spacing w:after="200" w:before="200"/>
    </w:pPr>
  </w:style>
  <w:style w:type="character" w:styleId="670">
    <w:name w:val="Subtitle Char"/>
    <w:basedOn w:val="827"/>
    <w:link w:val="669"/>
    <w:uiPriority w:val="11"/>
    <w:rPr>
      <w:sz w:val="24"/>
      <w:szCs w:val="24"/>
    </w:rPr>
  </w:style>
  <w:style w:type="paragraph" w:styleId="671">
    <w:name w:val="Quote"/>
    <w:basedOn w:val="825"/>
    <w:next w:val="825"/>
    <w:link w:val="672"/>
    <w:qFormat/>
    <w:uiPriority w:val="29"/>
    <w:rPr>
      <w:i/>
    </w:rPr>
    <w:pPr>
      <w:ind w:left="720" w:right="720"/>
    </w:p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25"/>
    <w:next w:val="825"/>
    <w:link w:val="6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>
    <w:name w:val="Intense Quote Char"/>
    <w:link w:val="673"/>
    <w:uiPriority w:val="30"/>
    <w:rPr>
      <w:i/>
    </w:rPr>
  </w:style>
  <w:style w:type="paragraph" w:styleId="675">
    <w:name w:val="Header"/>
    <w:basedOn w:val="825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Header Char"/>
    <w:basedOn w:val="827"/>
    <w:link w:val="675"/>
    <w:uiPriority w:val="99"/>
  </w:style>
  <w:style w:type="paragraph" w:styleId="677">
    <w:name w:val="Footer"/>
    <w:basedOn w:val="825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Footer Char"/>
    <w:basedOn w:val="827"/>
    <w:link w:val="677"/>
    <w:uiPriority w:val="99"/>
  </w:style>
  <w:style w:type="paragraph" w:styleId="679">
    <w:name w:val="Caption"/>
    <w:basedOn w:val="825"/>
    <w:next w:val="8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677"/>
    <w:uiPriority w:val="99"/>
  </w:style>
  <w:style w:type="table" w:styleId="681">
    <w:name w:val="Table Grid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Table Grid Light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4 - Accent 1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1">
    <w:name w:val="Grid Table 4 - Accent 2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2">
    <w:name w:val="Grid Table 4 - Accent 3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3">
    <w:name w:val="Grid Table 4 - Accent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4">
    <w:name w:val="Grid Table 4 - Accent 5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5">
    <w:name w:val="Grid Table 4 - Accent 6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6">
    <w:name w:val="Grid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5">
    <w:name w:val="List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6">
    <w:name w:val="List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7">
    <w:name w:val="List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8">
    <w:name w:val="List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9">
    <w:name w:val="List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0">
    <w:name w:val="List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1">
    <w:name w:val="List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3">
    <w:name w:val="List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4">
    <w:name w:val="List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List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6">
    <w:name w:val="List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List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8">
    <w:name w:val="List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9">
    <w:name w:val="List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 &amp; 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4">
    <w:name w:val="Bordered &amp; 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5">
    <w:name w:val="Bordered &amp; 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6">
    <w:name w:val="Bordered &amp; 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7">
    <w:name w:val="Bordered &amp; 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8">
    <w:name w:val="Bordered &amp; 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9">
    <w:name w:val="Bordered &amp; 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0">
    <w:name w:val="Bordered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1">
    <w:name w:val="Bordered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2">
    <w:name w:val="Bordered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3">
    <w:name w:val="Bordered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4">
    <w:name w:val="Bordered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5">
    <w:name w:val="Bordered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6">
    <w:name w:val="Bordered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basedOn w:val="825"/>
    <w:link w:val="809"/>
    <w:uiPriority w:val="99"/>
    <w:semiHidden/>
    <w:unhideWhenUsed/>
    <w:rPr>
      <w:sz w:val="18"/>
    </w:rPr>
    <w:pPr>
      <w:spacing w:lineRule="auto" w:line="240" w:after="40"/>
    </w:p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7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7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</w:style>
  <w:style w:type="paragraph" w:styleId="826">
    <w:name w:val="Heading 4"/>
    <w:basedOn w:val="825"/>
    <w:next w:val="825"/>
    <w:link w:val="838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 w:customStyle="1">
    <w:name w:val="Body Text 21"/>
    <w:basedOn w:val="825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31" w:customStyle="1">
    <w:name w:val="Т-14.5"/>
    <w:basedOn w:val="825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32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33" w:customStyle="1">
    <w:name w:val="Body Text 22"/>
    <w:basedOn w:val="825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34">
    <w:name w:val="Body Text Indent"/>
    <w:basedOn w:val="825"/>
    <w:link w:val="835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35" w:customStyle="1">
    <w:name w:val="Основной текст с отступом Знак"/>
    <w:basedOn w:val="827"/>
    <w:link w:val="834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36">
    <w:name w:val="Body Text 2"/>
    <w:basedOn w:val="825"/>
    <w:link w:val="837"/>
    <w:uiPriority w:val="99"/>
    <w:semiHidden/>
    <w:unhideWhenUsed/>
    <w:pPr>
      <w:spacing w:lineRule="auto" w:line="480" w:after="120"/>
    </w:pPr>
  </w:style>
  <w:style w:type="character" w:styleId="837" w:customStyle="1">
    <w:name w:val="Основной текст 2 Знак"/>
    <w:basedOn w:val="827"/>
    <w:link w:val="836"/>
    <w:uiPriority w:val="99"/>
    <w:semiHidden/>
  </w:style>
  <w:style w:type="character" w:styleId="838" w:customStyle="1">
    <w:name w:val="Заголовок 4 Знак"/>
    <w:basedOn w:val="827"/>
    <w:link w:val="826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39">
    <w:name w:val="Body Text"/>
    <w:basedOn w:val="825"/>
    <w:link w:val="840"/>
    <w:uiPriority w:val="99"/>
    <w:unhideWhenUsed/>
    <w:pPr>
      <w:spacing w:after="120"/>
    </w:pPr>
  </w:style>
  <w:style w:type="character" w:styleId="840" w:customStyle="1">
    <w:name w:val="Основной текст Знак"/>
    <w:basedOn w:val="827"/>
    <w:link w:val="839"/>
    <w:uiPriority w:val="99"/>
  </w:style>
  <w:style w:type="paragraph" w:styleId="841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2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43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44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5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16</cp:revision>
  <dcterms:created xsi:type="dcterms:W3CDTF">2021-02-01T10:33:00Z</dcterms:created>
  <dcterms:modified xsi:type="dcterms:W3CDTF">2022-07-08T10:58:51Z</dcterms:modified>
</cp:coreProperties>
</file>