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D" w:rsidRPr="00D41C5D" w:rsidRDefault="00D41C5D" w:rsidP="00D41C5D">
      <w:pPr>
        <w:pStyle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47625</wp:posOffset>
            </wp:positionV>
            <wp:extent cx="607695" cy="685800"/>
            <wp:effectExtent l="19050" t="0" r="1905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framePr w:w="864" w:h="566" w:hSpace="141" w:wrap="around" w:vAnchor="text" w:hAnchor="page" w:x="5616" w:y="-28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C5D" w:rsidRPr="00D41C5D" w:rsidRDefault="00D41C5D" w:rsidP="00D41C5D">
      <w:pPr>
        <w:pStyle w:val="1"/>
        <w:jc w:val="left"/>
        <w:rPr>
          <w:b w:val="0"/>
          <w:color w:val="000000"/>
          <w:sz w:val="28"/>
          <w:szCs w:val="28"/>
        </w:rPr>
      </w:pPr>
    </w:p>
    <w:p w:rsidR="00D41C5D" w:rsidRPr="000753B1" w:rsidRDefault="00D41C5D" w:rsidP="00D41C5D">
      <w:pPr>
        <w:pStyle w:val="1"/>
        <w:rPr>
          <w:color w:val="000000"/>
          <w:sz w:val="32"/>
          <w:szCs w:val="32"/>
        </w:rPr>
      </w:pPr>
      <w:r w:rsidRPr="000753B1">
        <w:rPr>
          <w:color w:val="000000"/>
          <w:sz w:val="32"/>
          <w:szCs w:val="32"/>
        </w:rPr>
        <w:t xml:space="preserve">ИЗБИРАТЕЛЬНАЯ КОМИССИЯ </w:t>
      </w:r>
    </w:p>
    <w:p w:rsidR="000753B1" w:rsidRDefault="00D41C5D" w:rsidP="000753B1">
      <w:pPr>
        <w:pStyle w:val="1"/>
        <w:rPr>
          <w:color w:val="000000"/>
          <w:sz w:val="32"/>
          <w:szCs w:val="32"/>
        </w:rPr>
      </w:pPr>
      <w:r w:rsidRPr="000753B1">
        <w:rPr>
          <w:color w:val="000000"/>
          <w:sz w:val="32"/>
          <w:szCs w:val="32"/>
        </w:rPr>
        <w:t>ГРАЙВОРОНСКОГО ГОРОДСКОГО ОКРУГА БЕЛГОРОДСКОЙ ОБЛАСТИ</w:t>
      </w:r>
    </w:p>
    <w:p w:rsidR="00D41C5D" w:rsidRPr="000753B1" w:rsidRDefault="00D41C5D" w:rsidP="000753B1">
      <w:pPr>
        <w:pStyle w:val="1"/>
        <w:rPr>
          <w:b w:val="0"/>
          <w:color w:val="000000"/>
          <w:sz w:val="20"/>
        </w:rPr>
      </w:pPr>
    </w:p>
    <w:p w:rsidR="00D41C5D" w:rsidRPr="000753B1" w:rsidRDefault="00D41C5D" w:rsidP="00D41C5D">
      <w:pPr>
        <w:pStyle w:val="2"/>
        <w:rPr>
          <w:color w:val="000000"/>
          <w:szCs w:val="32"/>
        </w:rPr>
      </w:pPr>
      <w:r w:rsidRPr="000753B1">
        <w:rPr>
          <w:color w:val="000000"/>
          <w:szCs w:val="32"/>
        </w:rPr>
        <w:t>ПОСТАНОВЛЕНИЕ</w:t>
      </w: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1C5D">
        <w:rPr>
          <w:rFonts w:ascii="Times New Roman" w:hAnsi="Times New Roman" w:cs="Times New Roman"/>
          <w:color w:val="000000"/>
          <w:sz w:val="24"/>
          <w:szCs w:val="24"/>
        </w:rPr>
        <w:t>Грайворон</w:t>
      </w:r>
    </w:p>
    <w:tbl>
      <w:tblPr>
        <w:tblW w:w="10029" w:type="dxa"/>
        <w:tblLayout w:type="fixed"/>
        <w:tblLook w:val="0000"/>
      </w:tblPr>
      <w:tblGrid>
        <w:gridCol w:w="108"/>
        <w:gridCol w:w="3828"/>
        <w:gridCol w:w="2528"/>
        <w:gridCol w:w="1924"/>
        <w:gridCol w:w="1359"/>
        <w:gridCol w:w="282"/>
      </w:tblGrid>
      <w:tr w:rsidR="00D41C5D" w:rsidRPr="00D41C5D" w:rsidTr="00D41C5D">
        <w:trPr>
          <w:gridBefore w:val="1"/>
          <w:gridAfter w:val="1"/>
          <w:wBefore w:w="108" w:type="dxa"/>
          <w:wAfter w:w="282" w:type="dxa"/>
          <w:trHeight w:val="491"/>
        </w:trPr>
        <w:tc>
          <w:tcPr>
            <w:tcW w:w="3828" w:type="dxa"/>
          </w:tcPr>
          <w:p w:rsidR="00D41C5D" w:rsidRPr="00D41C5D" w:rsidRDefault="000753B1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2021</w:t>
            </w:r>
            <w:r w:rsidR="00D41C5D" w:rsidRPr="00D41C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D41C5D" w:rsidRPr="00D41C5D" w:rsidRDefault="00D41C5D" w:rsidP="00D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D41C5D" w:rsidRPr="00D41C5D" w:rsidRDefault="00D41C5D" w:rsidP="000753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753B1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/41</w:t>
            </w:r>
            <w:r w:rsidR="000753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D4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D41C5D" w:rsidRPr="00D41C5D" w:rsidTr="00D4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количестве переносных избирательных ящиков для голосования на выборах </w:t>
            </w:r>
            <w:proofErr w:type="gramStart"/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Государственной Думы Федерального</w:t>
            </w:r>
            <w:r w:rsidR="00075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Собрания Российской Федерации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восьмого созыва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19</w:t>
            </w: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5D" w:rsidRPr="00D41C5D" w:rsidRDefault="00D41C5D" w:rsidP="00D41C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13" w:rsidRPr="00043613" w:rsidRDefault="00D41C5D" w:rsidP="00B51674">
      <w:pPr>
        <w:pStyle w:val="1"/>
        <w:ind w:firstLine="426"/>
        <w:jc w:val="both"/>
        <w:rPr>
          <w:b w:val="0"/>
          <w:sz w:val="28"/>
          <w:szCs w:val="28"/>
        </w:rPr>
      </w:pPr>
      <w:proofErr w:type="gramStart"/>
      <w:r w:rsidRPr="00B51674">
        <w:rPr>
          <w:b w:val="0"/>
          <w:sz w:val="28"/>
          <w:szCs w:val="28"/>
        </w:rPr>
        <w:t xml:space="preserve">Согласно </w:t>
      </w:r>
      <w:r w:rsidR="00043613" w:rsidRPr="00B51674">
        <w:rPr>
          <w:rStyle w:val="hl"/>
          <w:b w:val="0"/>
          <w:sz w:val="28"/>
          <w:szCs w:val="28"/>
        </w:rPr>
        <w:t>статьи</w:t>
      </w:r>
      <w:proofErr w:type="gramEnd"/>
      <w:r w:rsidR="00043613" w:rsidRPr="00B51674">
        <w:rPr>
          <w:rStyle w:val="hl"/>
          <w:b w:val="0"/>
          <w:sz w:val="28"/>
          <w:szCs w:val="28"/>
        </w:rPr>
        <w:t xml:space="preserve"> 83 (Порядок голосования вне помещения для голосования)</w:t>
      </w:r>
      <w:r w:rsidR="00043613" w:rsidRPr="00B51674">
        <w:rPr>
          <w:sz w:val="28"/>
          <w:szCs w:val="28"/>
        </w:rPr>
        <w:t xml:space="preserve"> </w:t>
      </w:r>
      <w:hyperlink r:id="rId5" w:history="1">
        <w:r w:rsidR="00043613" w:rsidRPr="000753B1">
          <w:rPr>
            <w:rStyle w:val="a5"/>
            <w:b w:val="0"/>
            <w:bCs/>
            <w:color w:val="auto"/>
            <w:sz w:val="28"/>
            <w:szCs w:val="28"/>
            <w:u w:val="none"/>
          </w:rPr>
          <w:t>Федеральный закон от 22.02.2014 N 20-ФЗ (ред. от 04.06.2021) "О выборах депутатов Государственной Думы Федерального Собрания Российской Федерации"</w:t>
        </w:r>
      </w:hyperlink>
      <w:r w:rsidR="00B51674" w:rsidRPr="000753B1">
        <w:rPr>
          <w:sz w:val="28"/>
          <w:szCs w:val="28"/>
        </w:rPr>
        <w:t xml:space="preserve">, </w:t>
      </w:r>
      <w:r w:rsidR="00B51674" w:rsidRPr="000753B1">
        <w:rPr>
          <w:b w:val="0"/>
          <w:sz w:val="28"/>
          <w:szCs w:val="28"/>
        </w:rPr>
        <w:t>м</w:t>
      </w:r>
      <w:r w:rsidR="00043613" w:rsidRPr="000753B1">
        <w:rPr>
          <w:b w:val="0"/>
          <w:sz w:val="28"/>
          <w:szCs w:val="28"/>
        </w:rPr>
        <w:t>аксимальное количество используемых в день голосования переносны</w:t>
      </w:r>
      <w:r w:rsidR="00043613" w:rsidRPr="00043613">
        <w:rPr>
          <w:b w:val="0"/>
          <w:sz w:val="28"/>
          <w:szCs w:val="28"/>
        </w:rPr>
        <w:t>х ящиков для голосования вне помещения для голосования на одном избирательном участке в зависимости от числа избирателей, зарегистрированных на территории избирательного участка, составляет:</w:t>
      </w:r>
    </w:p>
    <w:p w:rsidR="00043613" w:rsidRPr="00043613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1166"/>
      <w:bookmarkEnd w:id="0"/>
      <w:r w:rsidRPr="00043613">
        <w:rPr>
          <w:rFonts w:ascii="Times New Roman" w:eastAsia="Times New Roman" w:hAnsi="Times New Roman" w:cs="Times New Roman"/>
          <w:sz w:val="28"/>
          <w:szCs w:val="28"/>
        </w:rPr>
        <w:t>1) до 501 избирателя - 1 переносной ящик для голосования;</w:t>
      </w:r>
    </w:p>
    <w:p w:rsidR="00043613" w:rsidRPr="00043613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1167"/>
      <w:bookmarkEnd w:id="1"/>
      <w:r w:rsidRPr="00043613">
        <w:rPr>
          <w:rFonts w:ascii="Times New Roman" w:eastAsia="Times New Roman" w:hAnsi="Times New Roman" w:cs="Times New Roman"/>
          <w:sz w:val="28"/>
          <w:szCs w:val="28"/>
        </w:rPr>
        <w:t xml:space="preserve">2) от 501 до 1001 избирателя - 2 </w:t>
      </w:r>
      <w:proofErr w:type="gramStart"/>
      <w:r w:rsidRPr="00043613">
        <w:rPr>
          <w:rFonts w:ascii="Times New Roman" w:eastAsia="Times New Roman" w:hAnsi="Times New Roman" w:cs="Times New Roman"/>
          <w:sz w:val="28"/>
          <w:szCs w:val="28"/>
        </w:rPr>
        <w:t>переносных</w:t>
      </w:r>
      <w:proofErr w:type="gramEnd"/>
      <w:r w:rsidRPr="00043613">
        <w:rPr>
          <w:rFonts w:ascii="Times New Roman" w:eastAsia="Times New Roman" w:hAnsi="Times New Roman" w:cs="Times New Roman"/>
          <w:sz w:val="28"/>
          <w:szCs w:val="28"/>
        </w:rPr>
        <w:t xml:space="preserve"> ящика для голосования;</w:t>
      </w:r>
    </w:p>
    <w:p w:rsidR="00D41C5D" w:rsidRPr="00B51674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dst101168"/>
      <w:bookmarkEnd w:id="2"/>
      <w:r w:rsidRPr="00043613">
        <w:rPr>
          <w:rFonts w:ascii="Times New Roman" w:eastAsia="Times New Roman" w:hAnsi="Times New Roman" w:cs="Times New Roman"/>
          <w:sz w:val="28"/>
          <w:szCs w:val="28"/>
        </w:rPr>
        <w:t>3) более 1000 избирателей - 3 переносных ящика для голосования</w:t>
      </w:r>
      <w:r w:rsidR="00B51674">
        <w:rPr>
          <w:rFonts w:ascii="Times New Roman" w:eastAsia="Times New Roman" w:hAnsi="Times New Roman" w:cs="Times New Roman"/>
          <w:sz w:val="28"/>
          <w:szCs w:val="28"/>
        </w:rPr>
        <w:t xml:space="preserve">, Избирательная комиссия Грайворонского городского округа </w:t>
      </w:r>
      <w:r w:rsidR="00B51674" w:rsidRPr="00B5167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41C5D" w:rsidRPr="00D41C5D" w:rsidRDefault="00D41C5D" w:rsidP="00D41C5D">
      <w:pPr>
        <w:pStyle w:val="BodyText21"/>
        <w:widowControl/>
        <w:ind w:firstLine="851"/>
        <w:rPr>
          <w:szCs w:val="28"/>
        </w:rPr>
      </w:pPr>
      <w:r w:rsidRPr="00D41C5D">
        <w:rPr>
          <w:szCs w:val="28"/>
        </w:rPr>
        <w:t>1. Рекомендовать участковым избирательным комиссиям определить следующее количество переносных избирательных ящиков для организации голосования избирателей вне помещений избирательных участков:</w:t>
      </w:r>
    </w:p>
    <w:tbl>
      <w:tblPr>
        <w:tblW w:w="0" w:type="auto"/>
        <w:tblLook w:val="01E0"/>
      </w:tblPr>
      <w:tblGrid>
        <w:gridCol w:w="4783"/>
        <w:gridCol w:w="4788"/>
      </w:tblGrid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501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483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502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484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503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485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504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486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505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487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506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488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507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489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508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490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509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491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510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492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511 – 3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493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512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494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513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495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514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496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515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497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516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498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517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499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518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500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1260 – 3 шт.</w:t>
            </w:r>
          </w:p>
        </w:tc>
      </w:tr>
    </w:tbl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5D" w:rsidRPr="00D41C5D" w:rsidRDefault="00D41C5D" w:rsidP="00D41C5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41C5D">
        <w:rPr>
          <w:sz w:val="28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D41C5D" w:rsidRPr="00D41C5D" w:rsidRDefault="00D41C5D" w:rsidP="00D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1C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C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Избирательной комиссии Грайворонского городского округа С.В. Краснокутского.</w:t>
      </w:r>
    </w:p>
    <w:p w:rsidR="00D41C5D" w:rsidRPr="00D41C5D" w:rsidRDefault="00D41C5D" w:rsidP="00D4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5" w:type="dxa"/>
        <w:jc w:val="center"/>
        <w:tblInd w:w="546" w:type="dxa"/>
        <w:tblLayout w:type="fixed"/>
        <w:tblLook w:val="04A0"/>
      </w:tblPr>
      <w:tblGrid>
        <w:gridCol w:w="4823"/>
        <w:gridCol w:w="1564"/>
        <w:gridCol w:w="3508"/>
      </w:tblGrid>
      <w:tr w:rsidR="00D41C5D" w:rsidRPr="00D41C5D" w:rsidTr="008929D1">
        <w:trPr>
          <w:trHeight w:val="990"/>
          <w:jc w:val="center"/>
        </w:trPr>
        <w:tc>
          <w:tcPr>
            <w:tcW w:w="4823" w:type="dxa"/>
            <w:vAlign w:val="bottom"/>
          </w:tcPr>
          <w:p w:rsidR="00D41C5D" w:rsidRPr="00D41C5D" w:rsidRDefault="00B51674" w:rsidP="00B516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D41C5D" w:rsidRPr="00D41C5D" w:rsidRDefault="00B51674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508" w:type="dxa"/>
            <w:vAlign w:val="bottom"/>
          </w:tcPr>
          <w:p w:rsidR="00D41C5D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С.В. Краснокутский</w:t>
            </w:r>
          </w:p>
        </w:tc>
      </w:tr>
      <w:tr w:rsidR="00D41C5D" w:rsidRPr="00D41C5D" w:rsidTr="008929D1">
        <w:trPr>
          <w:trHeight w:val="157"/>
          <w:jc w:val="center"/>
        </w:trPr>
        <w:tc>
          <w:tcPr>
            <w:tcW w:w="4823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5D" w:rsidRPr="00D41C5D" w:rsidTr="008929D1">
        <w:trPr>
          <w:trHeight w:val="80"/>
          <w:jc w:val="center"/>
        </w:trPr>
        <w:tc>
          <w:tcPr>
            <w:tcW w:w="4823" w:type="dxa"/>
            <w:vAlign w:val="bottom"/>
          </w:tcPr>
          <w:p w:rsidR="00D41C5D" w:rsidRPr="00D41C5D" w:rsidRDefault="00D41C5D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5D" w:rsidRPr="00D41C5D" w:rsidRDefault="00B51674" w:rsidP="00B516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D41C5D" w:rsidRPr="00D41C5D" w:rsidRDefault="000753B1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D41C5D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Л.А. Угольникова</w:t>
            </w:r>
          </w:p>
        </w:tc>
      </w:tr>
      <w:tr w:rsidR="00B51674" w:rsidRPr="00D41C5D" w:rsidTr="008929D1">
        <w:trPr>
          <w:trHeight w:val="80"/>
          <w:jc w:val="center"/>
        </w:trPr>
        <w:tc>
          <w:tcPr>
            <w:tcW w:w="4823" w:type="dxa"/>
            <w:vAlign w:val="bottom"/>
          </w:tcPr>
          <w:p w:rsidR="00B51674" w:rsidRPr="00D41C5D" w:rsidRDefault="00B51674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Align w:val="bottom"/>
          </w:tcPr>
          <w:p w:rsidR="00B51674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08" w:type="dxa"/>
            <w:vAlign w:val="bottom"/>
          </w:tcPr>
          <w:p w:rsidR="00B51674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FD0" w:rsidRPr="00D41C5D" w:rsidRDefault="00811FD0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C5D" w:rsidRPr="00D41C5D" w:rsidSect="00B516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5D"/>
    <w:rsid w:val="00043613"/>
    <w:rsid w:val="000753B1"/>
    <w:rsid w:val="00302733"/>
    <w:rsid w:val="007B4578"/>
    <w:rsid w:val="00811FD0"/>
    <w:rsid w:val="00B51674"/>
    <w:rsid w:val="00D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D0"/>
  </w:style>
  <w:style w:type="paragraph" w:styleId="1">
    <w:name w:val="heading 1"/>
    <w:basedOn w:val="a"/>
    <w:next w:val="a"/>
    <w:link w:val="10"/>
    <w:qFormat/>
    <w:rsid w:val="00D41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D41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5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D41C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D41C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41C5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D41C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043613"/>
    <w:rPr>
      <w:color w:val="0000FF"/>
      <w:u w:val="single"/>
    </w:rPr>
  </w:style>
  <w:style w:type="character" w:customStyle="1" w:styleId="hl">
    <w:name w:val="hl"/>
    <w:basedOn w:val="a0"/>
    <w:rsid w:val="00043613"/>
  </w:style>
  <w:style w:type="character" w:styleId="a6">
    <w:name w:val="FollowedHyperlink"/>
    <w:basedOn w:val="a0"/>
    <w:uiPriority w:val="99"/>
    <w:semiHidden/>
    <w:unhideWhenUsed/>
    <w:rsid w:val="0004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34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6</cp:revision>
  <cp:lastPrinted>2021-08-29T09:13:00Z</cp:lastPrinted>
  <dcterms:created xsi:type="dcterms:W3CDTF">2021-08-17T13:52:00Z</dcterms:created>
  <dcterms:modified xsi:type="dcterms:W3CDTF">2021-08-29T09:13:00Z</dcterms:modified>
</cp:coreProperties>
</file>