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47625</wp:posOffset>
                </wp:positionV>
                <wp:extent cx="607695" cy="685800"/>
                <wp:effectExtent l="19050" t="0" r="1905" b="0"/>
                <wp:wrapNone/>
                <wp:docPr id="1" name="Рисунок 2" descr="ГЕРБГРАЙВОРновый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ГЕРБГРАЙВОРновый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60769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198.4pt;mso-position-horizontal:absolute;mso-position-vertical-relative:text;margin-top:3.8pt;mso-position-vertical:absolute;width:47.8pt;height:54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  <w:framePr w:w="864" w:h="566" w:hSpace="141" w:wrap="around" w:vAnchor="text" w:hAnchor="page" w:x="5616" w:y="-287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09"/>
        <w:jc w:val="left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  <w:r/>
    </w:p>
    <w:p>
      <w:pPr>
        <w:pStyle w:val="8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ИЗБИРАТЕЛЬНАЯ КОМИССИЯ </w:t>
      </w:r>
      <w:r/>
    </w:p>
    <w:p>
      <w:pPr>
        <w:pStyle w:val="8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ГРАЙВОРОНСКОГО ГОРОДСКОГО ОКРУГА</w:t>
      </w:r>
      <w:r/>
    </w:p>
    <w:p>
      <w:pPr>
        <w:pStyle w:val="8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БЕЛГОРОДСКОЙ ОБЛАСТИ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</w:r>
      <w:r/>
    </w:p>
    <w:p>
      <w:pPr>
        <w:pStyle w:val="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Грайворон</w:t>
      </w:r>
      <w:r/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2528"/>
        <w:gridCol w:w="589"/>
        <w:gridCol w:w="2694"/>
        <w:gridCol w:w="282"/>
      </w:tblGrid>
      <w:tr>
        <w:trPr>
          <w:gridAfter w:val="1"/>
          <w:gridBefore w:val="1"/>
          <w:trHeight w:val="491"/>
        </w:trPr>
        <w:tc>
          <w:tcPr>
            <w:tcW w:w="38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3283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/>
          </w:p>
        </w:tc>
      </w:tr>
      <w:tr>
        <w:trPr/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согласовании количества и перечня частей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территории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Грайворонского городского округа,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которым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должны соответствовать территориальные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группы кандидатов единого списка кандидатов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избирательного объединения на выборах депутатов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вета депутатов Грайворонского городского округа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76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соответствии с частью 11 статьи 23 Избирательного кодекса Белгородской области, на основании письма Совета депутатов </w:t>
      </w:r>
      <w:r>
        <w:rPr>
          <w:rFonts w:ascii="Times New Roman" w:hAnsi="Times New Roman" w:cs="Times New Roman"/>
          <w:sz w:val="28"/>
        </w:rPr>
        <w:t xml:space="preserve">Грайворон</w:t>
      </w:r>
      <w:r>
        <w:rPr>
          <w:rFonts w:ascii="Times New Roman" w:hAnsi="Times New Roman" w:cs="Times New Roman" w:eastAsia="Times New Roman"/>
          <w:sz w:val="28"/>
        </w:rPr>
        <w:t xml:space="preserve">ского городского округа от </w:t>
      </w:r>
      <w:r>
        <w:rPr>
          <w:rFonts w:ascii="Times New Roman" w:hAnsi="Times New Roman" w:cs="Times New Roman"/>
          <w:sz w:val="28"/>
        </w:rPr>
        <w:t xml:space="preserve">«14» апреля</w:t>
      </w:r>
      <w:r>
        <w:rPr>
          <w:rFonts w:ascii="Times New Roman" w:hAnsi="Times New Roman" w:cs="Times New Roman" w:eastAsia="Times New Roman"/>
          <w:sz w:val="28"/>
        </w:rPr>
        <w:t xml:space="preserve"> 2022 года № 344</w:t>
      </w:r>
      <w:r>
        <w:rPr>
          <w:rFonts w:ascii="Times New Roman" w:hAnsi="Times New Roman" w:cs="Times New Roman" w:eastAsia="Times New Roman"/>
          <w:sz w:val="28"/>
        </w:rPr>
        <w:t xml:space="preserve"> о согласовании количества и перечня частей территори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Грайвор</w:t>
      </w:r>
      <w:r>
        <w:rPr>
          <w:rFonts w:ascii="Times New Roman" w:hAnsi="Times New Roman" w:cs="Times New Roman"/>
          <w:sz w:val="28"/>
        </w:rPr>
        <w:t xml:space="preserve">он</w:t>
      </w:r>
      <w:r>
        <w:rPr>
          <w:rFonts w:ascii="Times New Roman" w:hAnsi="Times New Roman" w:cs="Times New Roman" w:eastAsia="Times New Roman"/>
          <w:sz w:val="28"/>
        </w:rPr>
        <w:t xml:space="preserve">ского городского округа, которым </w:t>
      </w:r>
      <w:r>
        <w:rPr>
          <w:rFonts w:ascii="Times New Roman" w:hAnsi="Times New Roman" w:cs="Times New Roman" w:eastAsia="Times New Roman"/>
          <w:sz w:val="28"/>
        </w:rPr>
        <w:t xml:space="preserve">должны</w:t>
      </w:r>
      <w:r>
        <w:rPr>
          <w:rFonts w:ascii="Times New Roman" w:hAnsi="Times New Roman" w:cs="Times New Roman" w:eastAsia="Times New Roman"/>
          <w:sz w:val="28"/>
        </w:rPr>
        <w:t xml:space="preserve"> соответствовать территориальные группы кандидатов единого списка кандидатов избирательного объединения на выборах депутатов Совета депутатов </w:t>
      </w:r>
      <w:r>
        <w:rPr>
          <w:rFonts w:ascii="Times New Roman" w:hAnsi="Times New Roman" w:cs="Times New Roman"/>
          <w:sz w:val="28"/>
        </w:rPr>
        <w:t xml:space="preserve">Грайворон</w:t>
      </w:r>
      <w:r>
        <w:rPr>
          <w:rFonts w:ascii="Times New Roman" w:hAnsi="Times New Roman" w:cs="Times New Roman" w:eastAsia="Times New Roman"/>
          <w:sz w:val="28"/>
        </w:rPr>
        <w:t xml:space="preserve">ского городского округа Белгородской области, Избирательная комиссия </w:t>
      </w:r>
      <w:r>
        <w:rPr>
          <w:rFonts w:ascii="Times New Roman" w:hAnsi="Times New Roman" w:cs="Times New Roman"/>
          <w:sz w:val="28"/>
        </w:rPr>
        <w:t xml:space="preserve">Грайворон</w:t>
      </w:r>
      <w:r>
        <w:rPr>
          <w:rFonts w:ascii="Times New Roman" w:hAnsi="Times New Roman" w:cs="Times New Roman" w:eastAsia="Times New Roman"/>
          <w:sz w:val="28"/>
        </w:rPr>
        <w:t xml:space="preserve">ского городского округа </w:t>
      </w:r>
      <w:r>
        <w:rPr>
          <w:rFonts w:ascii="Times New Roman" w:hAnsi="Times New Roman" w:cs="Times New Roman" w:eastAsia="Times New Roman"/>
          <w:b/>
          <w:sz w:val="28"/>
        </w:rPr>
        <w:t xml:space="preserve">постановляет: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822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 </w:t>
      </w:r>
      <w:bookmarkStart w:id="0" w:name="_Hlk96362415"/>
      <w:r>
        <w:rPr>
          <w:rFonts w:ascii="Times New Roman" w:hAnsi="Times New Roman" w:cs="Times New Roman" w:eastAsia="Times New Roman"/>
          <w:sz w:val="28"/>
        </w:rPr>
        <w:t xml:space="preserve">Согласовать </w:t>
      </w:r>
      <w:bookmarkStart w:id="1" w:name="_Hlk96411970"/>
      <w:r>
        <w:rPr>
          <w:rFonts w:ascii="Times New Roman" w:hAnsi="Times New Roman" w:cs="Times New Roman" w:eastAsia="Times New Roman"/>
          <w:sz w:val="28"/>
        </w:rPr>
        <w:t xml:space="preserve">количество и перечень </w:t>
      </w:r>
      <w:r>
        <w:rPr>
          <w:rFonts w:ascii="Times New Roman" w:hAnsi="Times New Roman" w:cs="Times New Roman" w:eastAsia="Times New Roman"/>
          <w:sz w:val="28"/>
        </w:rPr>
        <w:t xml:space="preserve">8</w:t>
      </w:r>
      <w:r>
        <w:rPr>
          <w:rFonts w:ascii="Times New Roman" w:hAnsi="Times New Roman" w:cs="Times New Roman" w:eastAsia="Times New Roman"/>
          <w:sz w:val="28"/>
        </w:rPr>
        <w:t xml:space="preserve"> частей территори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Грайворон</w:t>
      </w:r>
      <w:r>
        <w:rPr>
          <w:rFonts w:ascii="Times New Roman" w:hAnsi="Times New Roman" w:cs="Times New Roman" w:eastAsia="Times New Roman"/>
          <w:sz w:val="28"/>
        </w:rPr>
        <w:t xml:space="preserve">ского городского округа</w:t>
      </w:r>
      <w:bookmarkEnd w:id="1"/>
      <w:r>
        <w:rPr>
          <w:rFonts w:ascii="Times New Roman" w:hAnsi="Times New Roman" w:cs="Times New Roman" w:eastAsia="Times New Roman"/>
          <w:sz w:val="28"/>
        </w:rPr>
        <w:t xml:space="preserve">, </w:t>
      </w:r>
      <w:bookmarkStart w:id="2" w:name="_Hlk96412003"/>
      <w:r>
        <w:rPr>
          <w:rFonts w:ascii="Times New Roman" w:hAnsi="Times New Roman" w:cs="Times New Roman" w:eastAsia="Times New Roman"/>
          <w:sz w:val="28"/>
        </w:rPr>
        <w:t xml:space="preserve">которым </w:t>
      </w:r>
      <w:r>
        <w:rPr>
          <w:rFonts w:ascii="Times New Roman" w:hAnsi="Times New Roman" w:cs="Times New Roman" w:eastAsia="Times New Roman"/>
          <w:sz w:val="28"/>
        </w:rPr>
        <w:t xml:space="preserve">должны</w:t>
      </w:r>
      <w:r>
        <w:rPr>
          <w:rFonts w:ascii="Times New Roman" w:hAnsi="Times New Roman" w:cs="Times New Roman" w:eastAsia="Times New Roman"/>
          <w:sz w:val="28"/>
        </w:rPr>
        <w:t xml:space="preserve"> соответствовать территориальные группы кандидатов единого списка кандидатов избирательного объединения на выборах депутатов Совета депутатов </w:t>
      </w:r>
      <w:r>
        <w:rPr>
          <w:rFonts w:ascii="Times New Roman" w:hAnsi="Times New Roman" w:cs="Times New Roman"/>
          <w:sz w:val="28"/>
        </w:rPr>
        <w:t xml:space="preserve">Грайворон</w:t>
      </w:r>
      <w:r>
        <w:rPr>
          <w:rFonts w:ascii="Times New Roman" w:hAnsi="Times New Roman" w:cs="Times New Roman" w:eastAsia="Times New Roman"/>
          <w:sz w:val="28"/>
        </w:rPr>
        <w:t xml:space="preserve">ского городского округа Белгородской области </w:t>
      </w:r>
      <w:bookmarkEnd w:id="0"/>
      <w:r/>
      <w:bookmarkEnd w:id="2"/>
      <w:r>
        <w:rPr>
          <w:rFonts w:ascii="Times New Roman" w:hAnsi="Times New Roman" w:cs="Times New Roman" w:eastAsia="Times New Roman"/>
          <w:sz w:val="28"/>
        </w:rPr>
        <w:t xml:space="preserve">(прилагается).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2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</w:rPr>
      </w:r>
      <w:r/>
    </w:p>
    <w:p>
      <w:pPr>
        <w:pStyle w:val="822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Контроль за</w:t>
      </w:r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председателя Избирательной комиссии Грайворонского городского округа С.В. </w:t>
      </w:r>
      <w:r>
        <w:rPr>
          <w:rFonts w:ascii="Times New Roman" w:hAnsi="Times New Roman" w:cs="Times New Roman"/>
          <w:sz w:val="28"/>
        </w:rPr>
        <w:t xml:space="preserve">Краснокутского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895" w:type="dxa"/>
        <w:jc w:val="center"/>
        <w:tblInd w:w="546" w:type="dxa"/>
        <w:tblLayout w:type="fixed"/>
        <w:tblLook w:val="04A0" w:firstRow="1" w:lastRow="0" w:firstColumn="1" w:lastColumn="0" w:noHBand="0" w:noVBand="1"/>
      </w:tblPr>
      <w:tblGrid>
        <w:gridCol w:w="4823"/>
        <w:gridCol w:w="1564"/>
        <w:gridCol w:w="3508"/>
      </w:tblGrid>
      <w:tr>
        <w:trPr>
          <w:jc w:val="center"/>
          <w:trHeight w:val="990"/>
        </w:trPr>
        <w:tc>
          <w:tcPr>
            <w:tcW w:w="4823" w:type="dxa"/>
            <w:vAlign w:val="bottom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Избирательной комиссии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</w:tc>
        <w:tc>
          <w:tcPr>
            <w:tcW w:w="1564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/>
          </w:p>
        </w:tc>
        <w:tc>
          <w:tcPr>
            <w:tcW w:w="350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С.В. Краснокутский</w:t>
            </w:r>
            <w:r/>
          </w:p>
        </w:tc>
      </w:tr>
      <w:tr>
        <w:trPr>
          <w:jc w:val="center"/>
          <w:trHeight w:val="157"/>
        </w:trPr>
        <w:tc>
          <w:tcPr>
            <w:tcW w:w="4823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564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50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80"/>
        </w:trPr>
        <w:tc>
          <w:tcPr>
            <w:tcW w:w="4823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Избирательной комиссии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</w:tc>
        <w:tc>
          <w:tcPr>
            <w:tcW w:w="1564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50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Л.А. Угольникова</w:t>
            </w:r>
            <w:r/>
          </w:p>
        </w:tc>
      </w:tr>
      <w:tr>
        <w:trPr>
          <w:jc w:val="center"/>
          <w:trHeight w:val="80"/>
        </w:trPr>
        <w:tc>
          <w:tcPr>
            <w:tcW w:w="4823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564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508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jc w:val="right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  <w:t xml:space="preserve">Приложение</w:t>
      </w:r>
      <w:r>
        <w:rPr>
          <w:sz w:val="24"/>
        </w:rPr>
      </w:r>
      <w:r/>
    </w:p>
    <w:p>
      <w:pPr>
        <w:pStyle w:val="822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к постановлению Избирательной </w:t>
      </w:r>
      <w:r>
        <w:rPr>
          <w:sz w:val="24"/>
        </w:rPr>
      </w:r>
      <w:r/>
    </w:p>
    <w:p>
      <w:pPr>
        <w:pStyle w:val="822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комиссии </w:t>
      </w:r>
      <w:r>
        <w:rPr>
          <w:rFonts w:ascii="PT Astra Serif" w:hAnsi="PT Astra Serif" w:cs="PT Astra Serif" w:eastAsia="PT Astra Serif"/>
          <w:sz w:val="24"/>
        </w:rPr>
        <w:t xml:space="preserve">Грайворон</w:t>
      </w:r>
      <w:r>
        <w:rPr>
          <w:rFonts w:ascii="PT Astra Serif" w:hAnsi="PT Astra Serif" w:cs="PT Astra Serif" w:eastAsia="PT Astra Serif"/>
          <w:sz w:val="24"/>
        </w:rPr>
        <w:t xml:space="preserve">ского </w:t>
      </w:r>
      <w:r>
        <w:rPr>
          <w:rFonts w:ascii="PT Astra Serif" w:hAnsi="PT Astra Serif" w:cs="PT Astra Serif" w:eastAsia="PT Astra Serif"/>
          <w:sz w:val="24"/>
        </w:rPr>
        <w:t xml:space="preserve">городского </w:t>
      </w:r>
      <w:r>
        <w:rPr>
          <w:sz w:val="24"/>
        </w:rPr>
      </w:r>
      <w:r/>
    </w:p>
    <w:p>
      <w:pPr>
        <w:pStyle w:val="822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округа</w:t>
      </w:r>
      <w:r>
        <w:rPr>
          <w:rFonts w:ascii="PT Astra Serif" w:hAnsi="PT Astra Serif" w:cs="PT Astra Serif" w:eastAsia="PT Astra Serif"/>
          <w:sz w:val="24"/>
        </w:rPr>
        <w:t xml:space="preserve"> Белгородской области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22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от </w:t>
      </w:r>
      <w:r>
        <w:rPr>
          <w:rFonts w:ascii="PT Astra Serif" w:hAnsi="PT Astra Serif" w:cs="PT Astra Serif" w:eastAsia="PT Astra Serif"/>
          <w:sz w:val="24"/>
        </w:rPr>
        <w:t xml:space="preserve">19</w:t>
      </w:r>
      <w:r>
        <w:rPr>
          <w:rFonts w:ascii="PT Astra Serif" w:hAnsi="PT Astra Serif" w:cs="PT Astra Serif" w:eastAsia="PT Astra Serif"/>
          <w:sz w:val="24"/>
        </w:rPr>
        <w:t xml:space="preserve"> апреля</w:t>
      </w:r>
      <w:r>
        <w:rPr>
          <w:rFonts w:ascii="PT Astra Serif" w:hAnsi="PT Astra Serif" w:cs="PT Astra Serif" w:eastAsia="PT Astra Serif"/>
          <w:sz w:val="24"/>
        </w:rPr>
        <w:t xml:space="preserve"> 2022 года №</w:t>
      </w:r>
      <w:r>
        <w:rPr>
          <w:rFonts w:ascii="PT Astra Serif" w:hAnsi="PT Astra Serif" w:cs="PT Astra Serif" w:eastAsia="PT Astra Serif"/>
          <w:sz w:val="24"/>
        </w:rPr>
        <w:t xml:space="preserve"> 83</w:t>
      </w:r>
      <w:r>
        <w:rPr>
          <w:rFonts w:ascii="PT Astra Serif" w:hAnsi="PT Astra Serif" w:cs="PT Astra Serif" w:eastAsia="PT Astra Serif"/>
          <w:sz w:val="24"/>
        </w:rPr>
        <w:t xml:space="preserve">/</w:t>
      </w:r>
      <w:r>
        <w:rPr>
          <w:rFonts w:ascii="PT Astra Serif" w:hAnsi="PT Astra Serif" w:cs="PT Astra Serif" w:eastAsia="PT Astra Serif"/>
          <w:sz w:val="24"/>
        </w:rPr>
        <w:t xml:space="preserve">486</w:t>
      </w:r>
      <w:r>
        <w:rPr>
          <w:rFonts w:ascii="PT Astra Serif" w:hAnsi="PT Astra Serif" w:cs="PT Astra Serif" w:eastAsia="PT Astra Serif"/>
          <w:sz w:val="24"/>
        </w:rPr>
        <w:t xml:space="preserve">-1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ind w:right="-39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</w:rPr>
      </w:r>
      <w:bookmarkStart w:id="3" w:name="_Hlk96414880"/>
      <w:r>
        <w:rPr>
          <w:rFonts w:ascii="PT Astra Serif" w:hAnsi="PT Astra Serif" w:cs="PT Astra Serif" w:eastAsia="PT Astra Serif"/>
          <w:b/>
          <w:sz w:val="28"/>
        </w:rPr>
        <w:t xml:space="preserve">Количество и перечень </w:t>
      </w:r>
      <w:r>
        <w:rPr>
          <w:rFonts w:ascii="PT Astra Serif" w:hAnsi="PT Astra Serif" w:cs="PT Astra Serif" w:eastAsia="PT Astra Serif"/>
          <w:b/>
          <w:sz w:val="28"/>
        </w:rPr>
        <w:t xml:space="preserve">8 частей</w:t>
      </w:r>
      <w:r>
        <w:rPr>
          <w:rFonts w:ascii="PT Astra Serif" w:hAnsi="PT Astra Serif" w:cs="PT Astra Serif" w:eastAsia="PT Astra Serif"/>
          <w:b/>
          <w:sz w:val="28"/>
        </w:rPr>
        <w:t xml:space="preserve"> территории </w:t>
      </w:r>
      <w:r/>
    </w:p>
    <w:p>
      <w:pPr>
        <w:pStyle w:val="822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Грайворонского городского округа, которым должны соответствовать территориальные группы кандидатов единого списка кандидатов избирательного объединения на выборах депутатов Совета депутатов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Грайворонского городского округа Белгородской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Численность избирателей, зарегистрированных на территории Грайворонского городского округа по состоянию на 01 января 2018 года –                    </w:t>
      </w:r>
      <w:r>
        <w:rPr>
          <w:rFonts w:ascii="PT Astra Serif" w:hAnsi="PT Astra Serif" w:cs="PT Astra Serif" w:eastAsia="PT Astra Serif"/>
          <w:b/>
          <w:sz w:val="28"/>
        </w:rPr>
        <w:t xml:space="preserve">21 917</w:t>
      </w:r>
      <w:r>
        <w:rPr>
          <w:rFonts w:ascii="PT Astra Serif" w:hAnsi="PT Astra Serif" w:cs="PT Astra Serif" w:eastAsia="PT Astra Serif"/>
          <w:sz w:val="28"/>
        </w:rPr>
        <w:t xml:space="preserve"> человек.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Количество образуемых частей территории Грайворонского городского округа, которым должны соответствовать территориальные группы кандидатов единого списка кандидатов избирательного объединения - </w:t>
      </w:r>
      <w:r>
        <w:rPr>
          <w:rFonts w:ascii="PT Astra Serif" w:hAnsi="PT Astra Serif" w:cs="PT Astra Serif" w:eastAsia="PT Astra Serif"/>
          <w:b/>
          <w:sz w:val="28"/>
        </w:rPr>
        <w:t xml:space="preserve">8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Средняя норма представительства </w:t>
      </w:r>
      <w:bookmarkStart w:id="4" w:name="_Hlk96412555"/>
      <w:r>
        <w:rPr>
          <w:rFonts w:ascii="PT Astra Serif" w:hAnsi="PT Astra Serif" w:cs="PT Astra Serif" w:eastAsia="PT Astra Serif"/>
          <w:sz w:val="28"/>
        </w:rPr>
        <w:t xml:space="preserve">избирателей в одной части территории Грайворонского городского округа </w:t>
      </w:r>
      <w:bookmarkEnd w:id="4"/>
      <w:r>
        <w:rPr>
          <w:rFonts w:ascii="PT Astra Serif" w:hAnsi="PT Astra Serif" w:cs="PT Astra Serif" w:eastAsia="PT Astra Serif"/>
          <w:sz w:val="28"/>
        </w:rPr>
        <w:t xml:space="preserve">– </w:t>
      </w:r>
      <w:r>
        <w:rPr>
          <w:rFonts w:ascii="PT Astra Serif" w:hAnsi="PT Astra Serif" w:cs="PT Astra Serif" w:eastAsia="PT Astra Serif"/>
          <w:b/>
          <w:sz w:val="28"/>
        </w:rPr>
        <w:t xml:space="preserve">2 740</w:t>
      </w:r>
      <w:r>
        <w:rPr>
          <w:rFonts w:ascii="PT Astra Serif" w:hAnsi="PT Astra Serif" w:cs="PT Astra Serif" w:eastAsia="PT Astra Serif"/>
          <w:sz w:val="28"/>
        </w:rPr>
        <w:t xml:space="preserve"> человек.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Максимально допустимое число избирателей в одной части территории Грайворонского городского округа при отклонении от средней нормы представительства 10% – </w:t>
      </w:r>
      <w:r>
        <w:rPr>
          <w:rFonts w:ascii="PT Astra Serif" w:hAnsi="PT Astra Serif" w:cs="PT Astra Serif" w:eastAsia="PT Astra Serif"/>
          <w:b/>
          <w:sz w:val="28"/>
        </w:rPr>
        <w:t xml:space="preserve">3 014</w:t>
      </w:r>
      <w:r>
        <w:rPr>
          <w:rFonts w:ascii="PT Astra Serif" w:hAnsi="PT Astra Serif" w:cs="PT Astra Serif" w:eastAsia="PT Astra Serif"/>
          <w:sz w:val="28"/>
        </w:rPr>
        <w:t xml:space="preserve"> человек.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Минимально допустимое число избирателей в одной части территории Грайворонского городского округа при отклонении от средней нормы представительства 10% – </w:t>
      </w:r>
      <w:r>
        <w:rPr>
          <w:rFonts w:ascii="PT Astra Serif" w:hAnsi="PT Astra Serif" w:cs="PT Astra Serif" w:eastAsia="PT Astra Serif"/>
          <w:b/>
          <w:sz w:val="28"/>
        </w:rPr>
        <w:t xml:space="preserve">2 466</w:t>
      </w:r>
      <w:r>
        <w:rPr>
          <w:rFonts w:ascii="PT Astra Serif" w:hAnsi="PT Astra Serif" w:cs="PT Astra Serif" w:eastAsia="PT Astra Serif"/>
          <w:sz w:val="28"/>
        </w:rPr>
        <w:t xml:space="preserve"> человек.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774" w:type="dxa"/>
        <w:tblInd w:w="-88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277"/>
        <w:gridCol w:w="2154"/>
        <w:gridCol w:w="3701"/>
        <w:gridCol w:w="2068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/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Наименование и номер части территории Грайворонского городского округа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Границы части территории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Номера и границы входящих в части территории избирательных участков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Число избирателей в границах части территории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(Грайворонская-1)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1 соответствует территориям одномандатных избирательных 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1 и № 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г. Грайворон, ул. Горького, 2,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«Средняя общеобразовательная школа с углубленным изучением отдельных предметов»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 Грайворона,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город Грайворон (часть).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г. Грайворон, ул. Ленина, 22-в,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кинотеатра «Космос»,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город Грайворон (часть).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2 611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(Грайворонская-2)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2 соответствует территориям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одномандатных избирательных 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3 и № 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г. Грайворон, ул. Мира, 61-а,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«Средняя общеобразовательная школа им.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В.Г. Шухова»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 Грайворона (вход со стороны ул. Тарана),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город Грайворон (часть).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г. Грайворон, ул. Мира, 61-а,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«Средняя общеобразовательная школа им. В.Г. Шухова»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г. Грайворона (вход со стороны ул. Мира),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город Грайворон (часть).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Луговка, 103,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бывшего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Луговского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детского сада «Ёлочка»,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село Луговка.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2 718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(Головчинская-1)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3 соответствует территориям одномандатных избирательных 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5, № 6 и № 12 (часть)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Головчино, ул. К. Маркса,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1-в,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Центр культурного развития с. Головчино (здание Антоновского сельского модельного Дома культуры),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с. Головчино (часть);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населённый пункт - хутор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Масычево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Антоновка, 71-е,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Антоновского фельдшерско-акушерского пункта,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с. Головчино (часть);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населённый пункт - село Антоновка.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№ 1260 (временный)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город  Белгород-22, ул. Фрунзе, 3, здание ФГКУ «80-й Дом офицеров (гарнизона)» Министерства обороны РФ,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город Белгород-22.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хутор Тополи,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Луговая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16-а,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Доброивановского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населённые пункты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Доброивановка, хутор Тополи.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2 742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(Головчинская-2)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4 соответствует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территориям одномандатных избирательных округов № 7 и № 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Головчино, ул. Пушкина, 21,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ООО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Грайворонское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РСУ»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с. Головчино (часть).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Головчино, ул. Смирнова, 2,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Головчинская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средняя общеобразовательная школа                    с углубленным изучением отдельных предметов»,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с. Головчино (часть).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Головчино,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Школьная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1,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Головчинской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начальной школы,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с. Головчино (часть).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  <w:u w:val="singl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посёлок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Хотмыжск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Урожайная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8,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административное здание участка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Хотмыжское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» ОАО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Новоборисовское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ХПП»,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посёлок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Хотмыжск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2 768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Гора-Подольская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Козинская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5 соответствует территориям одномандатных избирательных 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9 и № 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Гора-Подол, ул. Борисенко, 48-е,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Гора-Подольская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средняя общеобразовательная школа», входит: населённый пункт -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 Гора-Подол.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Козинка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Центральная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37-б,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Козинского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модельного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населённые пункты - 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Козинка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хутор Заречье-1, хутор Заречье-2.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2 595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Иванолисичанская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Смородинская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Дунайская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6 соответствует территориям одномандатных избирательных 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10, № 15 (часть), и № 16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Ивановская Лисица, ул. Комсомольская, 72,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Ивано-Лисичанского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Ивановская Лисица.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Ломное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Новоселовка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9,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Ломенского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Ломное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Казачья Лисица, ул. К. Маркса, 8,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Казачье-Лисичанского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Казачья Лисица.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Косилово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Горянка, 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Косиловского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Косилово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Дунайка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Школьная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9,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Дунайского сельского модельного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Дунайка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Пороз, ул. Сергеевка, 5,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Порозовского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Пороз.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Смородино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Выгон, 61,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Смородинского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Смородино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Дроновка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Сумская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31-а,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Дроновского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Дроновка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Почаево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Ленина, 10,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Почаевского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модельного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Почаево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3 001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Доброивановская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Дорогощанская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Мокроорловская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7 соответствует территориям одномандатных избирательных 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12 (часть), №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14 и № 15 (часть)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Доброе,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Грайворонская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10-а,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Добросельского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модельного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Доброе.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Замостье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Добросельская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21,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административно-культурное здание с.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Замостье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Замостье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Дорогощь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Песчаная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2-а,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Дорогощанской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территориальной администрации,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Дорогощь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Санково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Горнянка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9-а,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Санковского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Санково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505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Мощёное,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Мищанка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11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Мощёнского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фельдшерско-акушерского пункта,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Мощёное.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Мокрая Орловка, ул. Центральная, 74,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Мокроорловского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модельного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Мокрая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Орловка (часть);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населённый пункт-село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Сподарюшино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Мокрая Орловка, ул. Центральная, 45,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Мокроорловская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средняя общеобразовательная школа»,  входят: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Мокрая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Орловка (часть);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населённый пункт - село Рождественка.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2 965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(Безыменская,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Глотовская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Новостроевская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Горьковская)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Часть № 8 соответствует территориям одномандатных избирательных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округов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№ 13 и № 17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488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Безымено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Октябрьская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75-а,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Безыменского сельского модельного Дома культуры,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Безымено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Глотово, ул. Генерала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Алексеенко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27,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Глотовского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сельского клуба,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Глотово.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посёлок Горьковский,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Молодёжная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2,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«Горьковская основная общеобразовательная школа»,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населённые пункты - посёлок Горьковский, посёлок Доброполье, посёлок Казачок.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496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посёлок Чапаевский,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Центральная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7-а,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Чапаевской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сельской библиотеки,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входят: населённые пункты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посёлок Чапаевский, посёлок Совхозный.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1-я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Новостроевка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Первомайская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70,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Новостроевской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территориальной администрации (помещение сельской библиотеки),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– село 1-я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Новостроевка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Избирательный участок № 515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село 1-я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Новостроевка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ул.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Первомайская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, 68,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здание МБОУ «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Новостроевская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основная общеобразовательная школа»,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входит: населённый пункт - село 2-я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Новостроевка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2 517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7" w:type="dxa"/>
            <w:textDirection w:val="lrTb"/>
            <w:noWrap w:val="false"/>
          </w:tcPr>
          <w:p>
            <w:pPr>
              <w:pStyle w:val="82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9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Всего: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68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4" w:type="dxa"/>
            <w:textDirection w:val="lrTb"/>
            <w:noWrap w:val="false"/>
          </w:tcPr>
          <w:p>
            <w:pPr>
              <w:pStyle w:val="822"/>
              <w:jc w:val="center"/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21 917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center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bookmarkEnd w:id="3"/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426" w:right="850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1"/>
    <w:link w:val="809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11"/>
    <w:link w:val="810"/>
    <w:uiPriority w:val="9"/>
    <w:rPr>
      <w:rFonts w:ascii="Arial" w:hAnsi="Arial" w:cs="Arial" w:eastAsia="Arial"/>
      <w:sz w:val="34"/>
    </w:rPr>
  </w:style>
  <w:style w:type="paragraph" w:styleId="636">
    <w:name w:val="Heading 3"/>
    <w:basedOn w:val="808"/>
    <w:next w:val="808"/>
    <w:link w:val="6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7">
    <w:name w:val="Heading 3 Char"/>
    <w:basedOn w:val="811"/>
    <w:link w:val="636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08"/>
    <w:next w:val="808"/>
    <w:link w:val="6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9">
    <w:name w:val="Heading 4 Char"/>
    <w:basedOn w:val="811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08"/>
    <w:next w:val="808"/>
    <w:link w:val="6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1">
    <w:name w:val="Heading 5 Char"/>
    <w:basedOn w:val="811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08"/>
    <w:next w:val="808"/>
    <w:link w:val="6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3">
    <w:name w:val="Heading 6 Char"/>
    <w:basedOn w:val="811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08"/>
    <w:next w:val="808"/>
    <w:link w:val="6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5">
    <w:name w:val="Heading 7 Char"/>
    <w:basedOn w:val="811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08"/>
    <w:next w:val="808"/>
    <w:link w:val="6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7">
    <w:name w:val="Heading 8 Char"/>
    <w:basedOn w:val="811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08"/>
    <w:next w:val="808"/>
    <w:link w:val="6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9">
    <w:name w:val="Heading 9 Char"/>
    <w:basedOn w:val="811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08"/>
    <w:qFormat/>
    <w:uiPriority w:val="34"/>
    <w:pPr>
      <w:contextualSpacing w:val="true"/>
      <w:ind w:left="720"/>
    </w:pPr>
  </w:style>
  <w:style w:type="paragraph" w:styleId="651">
    <w:name w:val="Title"/>
    <w:basedOn w:val="808"/>
    <w:next w:val="808"/>
    <w:link w:val="6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2">
    <w:name w:val="Title Char"/>
    <w:basedOn w:val="811"/>
    <w:link w:val="651"/>
    <w:uiPriority w:val="10"/>
    <w:rPr>
      <w:sz w:val="48"/>
      <w:szCs w:val="48"/>
    </w:rPr>
  </w:style>
  <w:style w:type="paragraph" w:styleId="653">
    <w:name w:val="Subtitle"/>
    <w:basedOn w:val="808"/>
    <w:next w:val="808"/>
    <w:link w:val="654"/>
    <w:qFormat/>
    <w:uiPriority w:val="11"/>
    <w:rPr>
      <w:sz w:val="24"/>
      <w:szCs w:val="24"/>
    </w:rPr>
    <w:pPr>
      <w:spacing w:after="200" w:before="200"/>
    </w:pPr>
  </w:style>
  <w:style w:type="character" w:styleId="654">
    <w:name w:val="Subtitle Char"/>
    <w:basedOn w:val="811"/>
    <w:link w:val="653"/>
    <w:uiPriority w:val="11"/>
    <w:rPr>
      <w:sz w:val="24"/>
      <w:szCs w:val="24"/>
    </w:rPr>
  </w:style>
  <w:style w:type="paragraph" w:styleId="655">
    <w:name w:val="Quote"/>
    <w:basedOn w:val="808"/>
    <w:next w:val="808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8"/>
    <w:next w:val="808"/>
    <w:link w:val="65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8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1"/>
    <w:link w:val="659"/>
    <w:uiPriority w:val="99"/>
  </w:style>
  <w:style w:type="paragraph" w:styleId="661">
    <w:name w:val="Footer"/>
    <w:basedOn w:val="808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1"/>
    <w:link w:val="661"/>
    <w:uiPriority w:val="99"/>
  </w:style>
  <w:style w:type="paragraph" w:styleId="663">
    <w:name w:val="Caption"/>
    <w:basedOn w:val="808"/>
    <w:next w:val="8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1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2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3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4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5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6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7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1">
    <w:name w:val="footnote text"/>
    <w:basedOn w:val="808"/>
    <w:link w:val="792"/>
    <w:uiPriority w:val="99"/>
    <w:semiHidden/>
    <w:unhideWhenUsed/>
    <w:rPr>
      <w:sz w:val="18"/>
    </w:rPr>
    <w:pPr>
      <w:spacing w:lineRule="auto" w:line="240" w:after="40"/>
    </w:p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11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rPr>
      <w:sz w:val="20"/>
    </w:rPr>
    <w:pPr>
      <w:spacing w:lineRule="auto" w:line="240" w:after="0"/>
    </w:p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11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paragraph" w:styleId="809">
    <w:name w:val="Heading 1"/>
    <w:basedOn w:val="808"/>
    <w:next w:val="808"/>
    <w:link w:val="814"/>
    <w:qFormat/>
    <w:rPr>
      <w:rFonts w:ascii="Times New Roman" w:hAnsi="Times New Roman" w:cs="Times New Roman" w:eastAsia="Times New Roman"/>
      <w:b/>
      <w:sz w:val="26"/>
      <w:szCs w:val="20"/>
    </w:rPr>
    <w:pPr>
      <w:jc w:val="center"/>
      <w:keepNext/>
      <w:spacing w:lineRule="auto" w:line="240" w:after="0"/>
      <w:outlineLvl w:val="0"/>
    </w:pPr>
  </w:style>
  <w:style w:type="paragraph" w:styleId="810">
    <w:name w:val="Heading 2"/>
    <w:basedOn w:val="808"/>
    <w:next w:val="808"/>
    <w:link w:val="815"/>
    <w:qFormat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1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 w:customStyle="1">
    <w:name w:val="Заголовок 1 Знак"/>
    <w:basedOn w:val="811"/>
    <w:link w:val="809"/>
    <w:rPr>
      <w:rFonts w:ascii="Times New Roman" w:hAnsi="Times New Roman" w:cs="Times New Roman" w:eastAsia="Times New Roman"/>
      <w:b/>
      <w:sz w:val="26"/>
      <w:szCs w:val="20"/>
    </w:rPr>
  </w:style>
  <w:style w:type="character" w:styleId="815" w:customStyle="1">
    <w:name w:val="Заголовок 2 Знак"/>
    <w:basedOn w:val="811"/>
    <w:link w:val="810"/>
    <w:rPr>
      <w:rFonts w:ascii="Times New Roman" w:hAnsi="Times New Roman" w:cs="Times New Roman" w:eastAsia="Times New Roman"/>
      <w:b/>
      <w:sz w:val="32"/>
      <w:szCs w:val="20"/>
    </w:rPr>
  </w:style>
  <w:style w:type="paragraph" w:styleId="816">
    <w:name w:val="Body Text Indent"/>
    <w:basedOn w:val="808"/>
    <w:link w:val="817"/>
    <w:rPr>
      <w:rFonts w:ascii="Times New Roman" w:hAnsi="Times New Roman" w:cs="Times New Roman" w:eastAsia="Times New Roman"/>
      <w:sz w:val="20"/>
      <w:szCs w:val="20"/>
    </w:rPr>
    <w:pPr>
      <w:ind w:left="283"/>
      <w:spacing w:lineRule="auto" w:line="240" w:after="120"/>
    </w:pPr>
  </w:style>
  <w:style w:type="character" w:styleId="817" w:customStyle="1">
    <w:name w:val="Основной текст с отступом Знак"/>
    <w:basedOn w:val="811"/>
    <w:link w:val="816"/>
    <w:rPr>
      <w:rFonts w:ascii="Times New Roman" w:hAnsi="Times New Roman" w:cs="Times New Roman" w:eastAsia="Times New Roman"/>
      <w:sz w:val="20"/>
      <w:szCs w:val="20"/>
    </w:rPr>
  </w:style>
  <w:style w:type="paragraph" w:styleId="818" w:customStyle="1">
    <w:name w:val="Body Text 21"/>
    <w:basedOn w:val="808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character" w:styleId="819">
    <w:name w:val="Hyperlink"/>
    <w:basedOn w:val="811"/>
    <w:uiPriority w:val="99"/>
    <w:semiHidden/>
    <w:unhideWhenUsed/>
    <w:rPr>
      <w:color w:val="0000FF"/>
      <w:u w:val="single"/>
    </w:rPr>
  </w:style>
  <w:style w:type="character" w:styleId="820" w:customStyle="1">
    <w:name w:val="hl"/>
    <w:basedOn w:val="811"/>
  </w:style>
  <w:style w:type="character" w:styleId="821">
    <w:name w:val="FollowedHyperlink"/>
    <w:basedOn w:val="811"/>
    <w:uiPriority w:val="99"/>
    <w:semiHidden/>
    <w:unhideWhenUsed/>
    <w:rPr>
      <w:color w:val="800080" w:themeColor="followedHyperlink"/>
      <w:u w:val="single"/>
    </w:rPr>
  </w:style>
  <w:style w:type="paragraph" w:styleId="822">
    <w:name w:val="No Spacing"/>
    <w:qFormat/>
    <w:uiPriority w:val="1"/>
    <w:pPr>
      <w:spacing w:lineRule="auto" w:line="240" w:after="0"/>
    </w:pPr>
  </w:style>
  <w:style w:type="paragraph" w:styleId="823" w:customStyle="1">
    <w:name w:val="Default"/>
    <w:rPr>
      <w:rFonts w:ascii="Times New Roman" w:hAnsi="Times New Roman" w:cs="Times New Roman" w:eastAsia="Times New Roman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17</cp:revision>
  <dcterms:created xsi:type="dcterms:W3CDTF">2021-08-17T13:52:00Z</dcterms:created>
  <dcterms:modified xsi:type="dcterms:W3CDTF">2023-03-15T08:12:10Z</dcterms:modified>
</cp:coreProperties>
</file>