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88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674420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3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_208__</w:t>
      </w:r>
      <w:r>
        <w:rPr>
          <w:sz w:val="22"/>
        </w:rPr>
      </w:r>
      <w:r/>
    </w:p>
    <w:p>
      <w:pPr>
        <w:pStyle w:val="873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88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</w:t>
            </w:r>
            <w:r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«Головчинская </w:t>
            </w:r>
            <w:r>
              <w:rPr>
                <w:b/>
                <w:sz w:val="28"/>
                <w:szCs w:val="28"/>
              </w:rPr>
              <w:t xml:space="preserve">средняя общеобразовательная школа</w:t>
            </w:r>
            <w:r/>
          </w:p>
          <w:p>
            <w:pPr>
              <w:pStyle w:val="8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углубленным изучением отдельных предметов» </w:t>
            </w:r>
            <w:r/>
          </w:p>
          <w:p>
            <w:pPr>
              <w:pStyle w:val="873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8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«Головчинская средняя общеобразовательная школа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с углубленным изучением отдельных предметов»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7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87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от 31 января 2019 года №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 </w:t>
        <w:br/>
        <w:t xml:space="preserve">«Об утверждении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«Головчинская средняя общеобразовательная школа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с углубленным изучением отдельных предметов»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873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3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3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3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«_03_»_апреля_2023_ года №_208_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3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r/>
    </w:p>
    <w:p>
      <w:pPr>
        <w:pStyle w:val="873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«Головчинская средняя общеобразовательная школа </w:t>
        <w:br/>
        <w:t xml:space="preserve">с углубленным изучением отдельных предметов» </w:t>
      </w:r>
      <w:r>
        <w:rPr>
          <w:b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b/>
          <w:color w:val="000000"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3"/>
        <w:ind w:left="4" w:right="18" w:hanging="4"/>
        <w:jc w:val="center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</w:t>
      </w:r>
      <w:r>
        <w:rPr>
          <w:sz w:val="28"/>
          <w:szCs w:val="28"/>
        </w:rPr>
        <w:t xml:space="preserve">ого общеобразовательного учреждения «Головчинская средняя общеобразовательная школа с углубленным изучением отдельных предметов» Грайворонского района Белгородской области (далее - Учреждение), осуществляющего деятельность в целях реализации права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получение общедоступного и бесплатного общего образования.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«Головчинская средняя общеобразовательная школа с углубленным изучением отдельных предметов» Грайворонского района Белгородской области.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«Головчинская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СОШ с УИОП».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структурные подразделения, обеспечивающие осуществление образовательной деятель</w:t>
      </w:r>
      <w:r>
        <w:rPr>
          <w:sz w:val="28"/>
          <w:szCs w:val="28"/>
          <w:shd w:val="clear" w:color="auto" w:fill="ffffff"/>
        </w:rPr>
        <w:t xml:space="preserve">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и представительства, не являются юридическими лицами и действуют 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  <w:tab/>
      </w:r>
      <w:r>
        <w:rPr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 финансового обеспечения выполнения муниципального задания;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Место нахождения Учреждения: 309377, Россия, Белгородская область, Грайворонский район, село Головчино, улица Смирнова, дом 2.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</w:t>
      </w:r>
      <w:r>
        <w:rPr>
          <w:sz w:val="28"/>
          <w:szCs w:val="28"/>
        </w:rPr>
        <w:t xml:space="preserve">торый наряду с руководством и работниками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</w:t>
      </w:r>
      <w:r>
        <w:rPr>
          <w:rFonts w:ascii="Times New Roman" w:hAnsi="Times New Roman"/>
          <w:sz w:val="28"/>
          <w:szCs w:val="28"/>
        </w:rPr>
        <w:t xml:space="preserve">.</w:t>
        <w:tab/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медалей «За особые успехи в учении»;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6"/>
        <w:ind w:left="4" w:right="18" w:firstLine="705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6"/>
        <w:ind w:left="4" w:right="18" w:hanging="4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6"/>
        <w:ind w:left="4" w:right="18" w:firstLine="705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928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дошкольное образование;</w:t>
      </w:r>
      <w:r/>
    </w:p>
    <w:p>
      <w:pPr>
        <w:pStyle w:val="928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928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8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5" w:name="_Toc215423138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среднее общее образование.</w:t>
      </w:r>
      <w:bookmarkEnd w:id="4"/>
      <w:r/>
      <w:bookmarkEnd w:id="5"/>
      <w:r>
        <w:rPr>
          <w:rFonts w:ascii="Times New Roman" w:hAnsi="Times New Roman"/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32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с 7-30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17-30 часов. В субботу,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обед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28"/>
        <w:ind w:left="4" w:right="18" w:firstLine="705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3"/>
        <w:contextualSpacing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34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естественнонаучное.</w:t>
      </w:r>
      <w:r>
        <w:rPr>
          <w:sz w:val="28"/>
          <w:szCs w:val="28"/>
        </w:rPr>
      </w:r>
      <w:r/>
    </w:p>
    <w:p>
      <w:pPr>
        <w:pStyle w:val="889"/>
        <w:ind w:left="4" w:right="18" w:firstLine="705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счет средств физических и (или) юридических лиц; заключает договор с заказчиком на реализацию образовательных программ за счет средс</w:t>
      </w:r>
      <w:r>
        <w:rPr>
          <w:sz w:val="28"/>
          <w:szCs w:val="28"/>
        </w:rPr>
        <w:t xml:space="preserve">тв физических и (или) юридических лиц; заключает трудовое соглашение со специалистами на реализацию образовательных программ за счет средств физических и (или) юридических лиц; издает приказ 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 веб-дизайн); по использованию компьютерной техники, в том числе с</w:t>
      </w:r>
      <w:r>
        <w:rPr>
          <w:sz w:val="28"/>
          <w:szCs w:val="28"/>
        </w:rPr>
        <w:t xml:space="preserve"> применением 3D технологий: 3D-</w:t>
      </w:r>
      <w:r>
        <w:rPr>
          <w:sz w:val="28"/>
          <w:szCs w:val="28"/>
        </w:rPr>
        <w:t xml:space="preserve">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</w:t>
      </w:r>
      <w:r>
        <w:rPr>
          <w:rFonts w:ascii="Times New Roman" w:hAnsi="Times New Roman"/>
          <w:sz w:val="28"/>
          <w:szCs w:val="28"/>
        </w:rPr>
        <w:t xml:space="preserve">.</w:t>
        <w:tab/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929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3"/>
        <w:ind w:left="4" w:right="18" w:firstLine="705"/>
        <w:jc w:val="both"/>
        <w:tabs>
          <w:tab w:val="left" w:pos="1701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</w:t>
      </w:r>
      <w:r>
        <w:rPr>
          <w:sz w:val="28"/>
          <w:szCs w:val="28"/>
        </w:rPr>
        <w:t xml:space="preserve">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.3.</w:t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</w:t>
      </w:r>
      <w:r>
        <w:rPr>
          <w:bCs/>
          <w:sz w:val="28"/>
          <w:szCs w:val="28"/>
        </w:rPr>
        <w:t xml:space="preserve">.</w:t>
        <w:tab/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</w:t>
      </w:r>
      <w:r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927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2.28</w:t>
      </w:r>
      <w:r>
        <w:rPr>
          <w:bCs/>
          <w:sz w:val="28"/>
          <w:szCs w:val="28"/>
        </w:rPr>
        <w:t xml:space="preserve">.</w:t>
        <w:tab/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887"/>
        <w:ind w:left="4" w:right="18" w:firstLine="705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87"/>
        <w:ind w:left="4" w:right="18" w:firstLine="705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Работники, осуществляющие вспомогательные функции в Учреждении,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26"/>
        <w:ind w:left="4" w:right="18" w:hanging="4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в Учреждении;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расписание занятий;</w:t>
      </w:r>
      <w:bookmarkEnd w:id="38"/>
      <w:r/>
      <w:bookmarkEnd w:id="39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исполнение;</w:t>
      </w:r>
      <w:bookmarkEnd w:id="40"/>
      <w:r/>
      <w:bookmarkEnd w:id="41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5" w:name="_Toc21542340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3" w:name="_Toc21542341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8" w:name="_Toc21542341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</w:t>
      </w:r>
      <w:r>
        <w:rPr>
          <w:sz w:val="28"/>
          <w:szCs w:val="28"/>
        </w:rPr>
        <w:t xml:space="preserve">ура, порядок формирования, срок</w:t>
      </w:r>
      <w:r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 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85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</w:t>
      </w:r>
      <w:r>
        <w:rPr>
          <w:sz w:val="28"/>
          <w:szCs w:val="28"/>
        </w:rPr>
        <w:t xml:space="preserve"> работников Учреждения является высшим органом самоуправления в Учреждении.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Конференции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Конференции относятся: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 </w:t>
      </w:r>
      <w:r>
        <w:rPr>
          <w:sz w:val="28"/>
          <w:szCs w:val="28"/>
        </w:rPr>
        <w:t xml:space="preserve">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);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по разрешению трудовых споров;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</w:t>
      </w:r>
      <w:r>
        <w:rPr>
          <w:sz w:val="28"/>
          <w:szCs w:val="28"/>
        </w:rPr>
        <w:t xml:space="preserve">ением. Члены Управляющего совета Учреждения избираются сроком 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13 членов с использованием процедур выборов, назначения и кооптации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локальными актами о выборах и кооптации членов Управляющего совета: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менее 4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–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 человек;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– не менее 2 человек;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–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1 человек;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- 1 человек;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 государственного стандарта общего образования и профиля обучения;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к различным видам поощрений, награждений, премирования работников Учреждения, родителей, обучающихся;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89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</w:t>
      </w:r>
      <w:r>
        <w:rPr>
          <w:sz w:val="28"/>
          <w:szCs w:val="28"/>
        </w:rPr>
        <w:t xml:space="preserve">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 обучения; выдаче соответствующих документов об образовании, 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определенном</w:t>
      </w:r>
      <w:r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/>
    </w:p>
    <w:p>
      <w:pPr>
        <w:pStyle w:val="92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лиц.</w:t>
      </w:r>
      <w:r/>
    </w:p>
    <w:p>
      <w:pPr>
        <w:pStyle w:val="92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(12) классов аттестатов об основном общем и среднем общем образовании;</w:t>
      </w:r>
      <w:r/>
    </w:p>
    <w:p>
      <w:pPr>
        <w:pStyle w:val="92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воспитания подрастающего поколения, в том числе сообщения о проверке </w:t>
      </w:r>
      <w:r>
        <w:rPr>
          <w:rFonts w:ascii="Times New Roman" w:hAnsi="Times New Roman"/>
          <w:sz w:val="28"/>
          <w:szCs w:val="28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постоянно действующим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коллегиальным органом управления Учреждением, действующи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92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3"/>
        <w:ind w:left="4" w:right="18" w:firstLine="705"/>
        <w:tabs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</w:t>
      </w:r>
      <w:r>
        <w:rPr>
          <w:sz w:val="28"/>
          <w:szCs w:val="28"/>
        </w:rPr>
        <w:t xml:space="preserve">Участие 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избирается секретарь Совета обучающихся Учреждения. Председатель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секретарь Совета обучающихся Учреждения избираются на первом заседании Совета обучающихся Учреждения. Совет обучающихся Учреждения вправе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любое время переизбрать председателя и секретаря.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3"/>
        <w:ind w:left="4" w:right="18" w:firstLine="705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873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решениями;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договорами (в том числе коллективным договором);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расписаниями (распорядками);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порядками;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планами;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графиками;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0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, об аттестации, об оплате труда,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 формах получения образования и т.д.).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</w:t>
      </w:r>
      <w:r>
        <w:rPr>
          <w:sz w:val="28"/>
          <w:szCs w:val="28"/>
        </w:rPr>
        <w:t xml:space="preserve">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в порядке и случаях, предусмотренных трудовым законодательством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– в представительный орган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их компетенцией.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 собственника не вправе распоряжаться особо ценным движимым имуществом,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собственником или приобретенным бюджетным Учреждением за счет средств, выделенных ему собственником на приобретение такого имущества,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недвижимым имуществом.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в</w:t>
      </w:r>
      <w:r>
        <w:rPr>
          <w:sz w:val="28"/>
          <w:szCs w:val="28"/>
        </w:rPr>
        <w:t xml:space="preserve">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</w:t>
      </w:r>
      <w:r>
        <w:rPr>
          <w:sz w:val="28"/>
          <w:szCs w:val="28"/>
        </w:rPr>
        <w:t xml:space="preserve">еских лиц. Порядок определения </w:t>
      </w:r>
      <w:r>
        <w:rPr>
          <w:sz w:val="28"/>
          <w:szCs w:val="28"/>
        </w:rPr>
        <w:t xml:space="preserve">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3"/>
        <w:ind w:left="4" w:right="18" w:firstLine="705"/>
        <w:jc w:val="both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3"/>
        <w:ind w:left="4" w:right="18" w:firstLine="705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  <w:tab/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3"/>
        <w:ind w:left="4" w:right="18" w:firstLine="705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3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873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3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85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85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</w:t>
      </w:r>
      <w:r>
        <w:rPr>
          <w:sz w:val="28"/>
          <w:szCs w:val="28"/>
        </w:rPr>
        <w:t xml:space="preserve">по ее обязательствам, передается ликвидационной комиссией Собственнику соответствующего имущества.</w:t>
      </w:r>
      <w:r/>
    </w:p>
    <w:p>
      <w:pPr>
        <w:pStyle w:val="873"/>
        <w:tabs>
          <w:tab w:val="left" w:pos="2971" w:leader="none"/>
        </w:tabs>
      </w:pPr>
      <w:r/>
      <w:r/>
    </w:p>
    <w:p>
      <w:pPr>
        <w:pStyle w:val="87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0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separate"/>
    </w:r>
    <w:r>
      <w:rPr>
        <w:rStyle w:val="882"/>
      </w:rPr>
      <w:t xml:space="preserve">2</w:t>
    </w:r>
    <w:r>
      <w:rPr>
        <w:rStyle w:val="882"/>
      </w:rPr>
      <w:fldChar w:fldCharType="end"/>
    </w:r>
    <w:r>
      <w:rPr>
        <w:rStyle w:val="882"/>
      </w:rPr>
    </w:r>
    <w:r/>
  </w:p>
  <w:p>
    <w:pPr>
      <w:pStyle w:val="8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>
      <w:rPr>
        <w:rStyle w:val="882"/>
      </w:rPr>
    </w:r>
    <w:r/>
  </w:p>
  <w:p>
    <w:pPr>
      <w:pStyle w:val="8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ind w:firstLin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3"/>
      </w:pPr>
    </w:lvl>
    <w:lvl w:ilvl="1">
      <w:start w:val="0"/>
      <w:numFmt w:val="decimal"/>
      <w:isLgl w:val="false"/>
      <w:suff w:val="tab"/>
      <w:lvlText w:val="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3"/>
      </w:pPr>
    </w:lvl>
    <w:lvl w:ilvl="1">
      <w:start w:val="8"/>
      <w:numFmt w:val="decimal"/>
      <w:isLgl w:val="false"/>
      <w:suff w:val="tab"/>
      <w:lvlText w:val="%2)"/>
      <w:lvlJc w:val="left"/>
      <w:pPr>
        <w:pStyle w:val="873"/>
      </w:pPr>
    </w:lvl>
    <w:lvl w:ilvl="2">
      <w:start w:val="1"/>
      <w:numFmt w:val="bullet"/>
      <w:isLgl w:val="false"/>
      <w:suff w:val="tab"/>
      <w:lvlText w:val="В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3"/>
      </w:pPr>
    </w:lvl>
    <w:lvl w:ilvl="1">
      <w:start w:val="1"/>
      <w:numFmt w:val="decimal"/>
      <w:isLgl w:val="false"/>
      <w:suff w:val="tab"/>
      <w:lvlText w:val="%2)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3"/>
      </w:pPr>
    </w:lvl>
    <w:lvl w:ilvl="1">
      <w:start w:val="7"/>
      <w:numFmt w:val="decimal"/>
      <w:isLgl w:val="false"/>
      <w:suff w:val="tab"/>
      <w:lvlText w:val="%2)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3"/>
    <w:next w:val="873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3"/>
    <w:next w:val="873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9">
    <w:name w:val="Heading 2 Char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3"/>
    <w:next w:val="873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3"/>
    <w:next w:val="873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3"/>
    <w:next w:val="873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3"/>
    <w:next w:val="873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3"/>
    <w:next w:val="873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3"/>
    <w:next w:val="873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3"/>
    <w:next w:val="873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rPr>
      <w:lang w:val="ru-RU" w:bidi="ar-SA" w:eastAsia="ru-RU"/>
    </w:rPr>
  </w:style>
  <w:style w:type="paragraph" w:styleId="874">
    <w:name w:val="Заголовок 1"/>
    <w:basedOn w:val="873"/>
    <w:next w:val="874"/>
    <w:link w:val="91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5">
    <w:name w:val="Заголовок 3"/>
    <w:basedOn w:val="873"/>
    <w:next w:val="875"/>
    <w:link w:val="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76">
    <w:name w:val="Основной шрифт абзаца"/>
    <w:next w:val="876"/>
    <w:link w:val="873"/>
    <w:semiHidden/>
  </w:style>
  <w:style w:type="table" w:styleId="877">
    <w:name w:val="Обычная таблица"/>
    <w:next w:val="877"/>
    <w:link w:val="873"/>
    <w:semiHidden/>
    <w:tblPr/>
  </w:style>
  <w:style w:type="numbering" w:styleId="878">
    <w:name w:val="Нет списка"/>
    <w:next w:val="878"/>
    <w:link w:val="873"/>
    <w:semiHidden/>
  </w:style>
  <w:style w:type="table" w:styleId="879">
    <w:name w:val="Сетка таблицы"/>
    <w:basedOn w:val="877"/>
    <w:next w:val="879"/>
    <w:link w:val="873"/>
    <w:tblPr/>
  </w:style>
  <w:style w:type="paragraph" w:styleId="880">
    <w:name w:val="Основной текст с отступом 2"/>
    <w:basedOn w:val="873"/>
    <w:next w:val="880"/>
    <w:link w:val="873"/>
    <w:pPr>
      <w:ind w:left="283"/>
      <w:spacing w:after="120" w:line="480" w:lineRule="auto"/>
    </w:pPr>
  </w:style>
  <w:style w:type="paragraph" w:styleId="881">
    <w:name w:val="Верхний колонтитул"/>
    <w:basedOn w:val="873"/>
    <w:next w:val="881"/>
    <w:link w:val="921"/>
    <w:pPr>
      <w:tabs>
        <w:tab w:val="center" w:pos="4677" w:leader="none"/>
        <w:tab w:val="right" w:pos="9355" w:leader="none"/>
      </w:tabs>
    </w:pPr>
  </w:style>
  <w:style w:type="character" w:styleId="882">
    <w:name w:val="Номер страницы"/>
    <w:basedOn w:val="876"/>
    <w:next w:val="882"/>
    <w:link w:val="873"/>
  </w:style>
  <w:style w:type="paragraph" w:styleId="883">
    <w:name w:val="Текст выноски"/>
    <w:basedOn w:val="873"/>
    <w:next w:val="883"/>
    <w:link w:val="923"/>
    <w:semiHidden/>
    <w:rPr>
      <w:rFonts w:ascii="Tahoma" w:hAnsi="Tahoma"/>
      <w:sz w:val="16"/>
      <w:szCs w:val="16"/>
    </w:rPr>
  </w:style>
  <w:style w:type="paragraph" w:styleId="884">
    <w:name w:val="Основной текст"/>
    <w:basedOn w:val="873"/>
    <w:next w:val="884"/>
    <w:link w:val="909"/>
    <w:pPr>
      <w:spacing w:after="120"/>
    </w:pPr>
  </w:style>
  <w:style w:type="paragraph" w:styleId="885">
    <w:name w:val="Обычный (веб)"/>
    <w:basedOn w:val="873"/>
    <w:next w:val="885"/>
    <w:link w:val="8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86">
    <w:name w:val="Основной текст с отступом Знак"/>
    <w:next w:val="886"/>
    <w:link w:val="887"/>
    <w:rPr>
      <w:sz w:val="24"/>
      <w:szCs w:val="24"/>
      <w:lang w:val="ru-RU" w:bidi="ar-SA" w:eastAsia="ru-RU"/>
    </w:rPr>
  </w:style>
  <w:style w:type="paragraph" w:styleId="887">
    <w:name w:val="Основной текст с отступом"/>
    <w:basedOn w:val="873"/>
    <w:next w:val="887"/>
    <w:link w:val="886"/>
    <w:pPr>
      <w:ind w:left="283"/>
      <w:spacing w:after="120"/>
    </w:pPr>
    <w:rPr>
      <w:sz w:val="24"/>
      <w:szCs w:val="24"/>
    </w:rPr>
  </w:style>
  <w:style w:type="paragraph" w:styleId="888">
    <w:name w:val="List Paragraph"/>
    <w:basedOn w:val="873"/>
    <w:next w:val="888"/>
    <w:link w:val="873"/>
    <w:pPr>
      <w:contextualSpacing/>
      <w:ind w:left="720"/>
    </w:pPr>
    <w:rPr>
      <w:rFonts w:eastAsia="Calibri"/>
      <w:sz w:val="24"/>
      <w:szCs w:val="24"/>
    </w:rPr>
  </w:style>
  <w:style w:type="paragraph" w:styleId="889">
    <w:name w:val="ConsPlusNormal"/>
    <w:next w:val="889"/>
    <w:link w:val="893"/>
    <w:pPr>
      <w:widowControl w:val="off"/>
    </w:pPr>
    <w:rPr>
      <w:rFonts w:ascii="Arial" w:hAnsi="Arial"/>
      <w:lang w:val="ru-RU" w:bidi="ar-SA" w:eastAsia="ru-RU"/>
    </w:rPr>
  </w:style>
  <w:style w:type="paragraph" w:styleId="890">
    <w:name w:val="Нижний колонтитул"/>
    <w:basedOn w:val="873"/>
    <w:next w:val="890"/>
    <w:link w:val="925"/>
    <w:pPr>
      <w:tabs>
        <w:tab w:val="center" w:pos="4677" w:leader="none"/>
        <w:tab w:val="right" w:pos="9355" w:leader="none"/>
      </w:tabs>
    </w:pPr>
  </w:style>
  <w:style w:type="character" w:styleId="891">
    <w:name w:val="Гиперссылка"/>
    <w:next w:val="891"/>
    <w:link w:val="873"/>
    <w:rPr>
      <w:color w:val="0000FF"/>
      <w:u w:val="single"/>
    </w:rPr>
  </w:style>
  <w:style w:type="character" w:styleId="892">
    <w:name w:val="Строгий"/>
    <w:next w:val="892"/>
    <w:link w:val="873"/>
    <w:rPr>
      <w:b/>
      <w:bCs/>
    </w:rPr>
  </w:style>
  <w:style w:type="character" w:styleId="893">
    <w:name w:val="ConsPlusNormal Знак"/>
    <w:next w:val="893"/>
    <w:link w:val="889"/>
    <w:rPr>
      <w:rFonts w:ascii="Arial" w:hAnsi="Arial"/>
      <w:lang w:val="ru-RU" w:bidi="ar-SA" w:eastAsia="ru-RU"/>
    </w:rPr>
  </w:style>
  <w:style w:type="paragraph" w:styleId="894">
    <w:name w:val="ConsPlusTitle"/>
    <w:next w:val="894"/>
    <w:link w:val="87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5">
    <w:name w:val="Основной текст 2"/>
    <w:basedOn w:val="873"/>
    <w:next w:val="895"/>
    <w:link w:val="896"/>
    <w:pPr>
      <w:spacing w:after="120" w:line="480" w:lineRule="auto"/>
    </w:pPr>
    <w:rPr>
      <w:rFonts w:eastAsia="Calibri"/>
      <w:sz w:val="24"/>
      <w:szCs w:val="24"/>
    </w:rPr>
  </w:style>
  <w:style w:type="character" w:styleId="896">
    <w:name w:val="Основной текст 2 Знак"/>
    <w:next w:val="896"/>
    <w:link w:val="895"/>
    <w:rPr>
      <w:rFonts w:eastAsia="Calibri"/>
      <w:sz w:val="24"/>
      <w:szCs w:val="24"/>
      <w:lang w:val="ru-RU" w:bidi="ar-SA" w:eastAsia="ru-RU"/>
    </w:rPr>
  </w:style>
  <w:style w:type="paragraph" w:styleId="897">
    <w:name w:val="Абзац списка"/>
    <w:basedOn w:val="873"/>
    <w:next w:val="897"/>
    <w:link w:val="873"/>
    <w:pPr>
      <w:contextualSpacing/>
      <w:ind w:left="720"/>
    </w:pPr>
    <w:rPr>
      <w:sz w:val="24"/>
      <w:szCs w:val="24"/>
    </w:rPr>
  </w:style>
  <w:style w:type="paragraph" w:styleId="898">
    <w:name w:val="western"/>
    <w:basedOn w:val="873"/>
    <w:next w:val="898"/>
    <w:link w:val="8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899">
    <w:name w:val="Основной текст с отступом 21"/>
    <w:basedOn w:val="873"/>
    <w:next w:val="899"/>
    <w:link w:val="873"/>
    <w:pPr>
      <w:ind w:left="720" w:hanging="851"/>
      <w:jc w:val="both"/>
    </w:pPr>
    <w:rPr>
      <w:sz w:val="28"/>
      <w:lang w:eastAsia="ar-SA"/>
    </w:rPr>
  </w:style>
  <w:style w:type="character" w:styleId="900">
    <w:name w:val="Body text_"/>
    <w:next w:val="900"/>
    <w:link w:val="901"/>
    <w:rPr>
      <w:sz w:val="25"/>
      <w:szCs w:val="25"/>
      <w:lang w:bidi="ar-SA"/>
    </w:rPr>
  </w:style>
  <w:style w:type="paragraph" w:styleId="901">
    <w:name w:val="Body text"/>
    <w:basedOn w:val="873"/>
    <w:next w:val="901"/>
    <w:link w:val="90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2">
    <w:name w:val="Название"/>
    <w:basedOn w:val="873"/>
    <w:next w:val="902"/>
    <w:link w:val="90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3">
    <w:name w:val="Font Style11"/>
    <w:next w:val="903"/>
    <w:link w:val="873"/>
    <w:rPr>
      <w:rFonts w:ascii="Times New Roman" w:hAnsi="Times New Roman"/>
      <w:sz w:val="24"/>
      <w:szCs w:val="24"/>
    </w:rPr>
  </w:style>
  <w:style w:type="paragraph" w:styleId="904">
    <w:name w:val="Основной текст 3"/>
    <w:basedOn w:val="873"/>
    <w:next w:val="904"/>
    <w:link w:val="873"/>
    <w:pPr>
      <w:spacing w:after="120"/>
    </w:pPr>
    <w:rPr>
      <w:sz w:val="16"/>
      <w:szCs w:val="16"/>
    </w:rPr>
  </w:style>
  <w:style w:type="paragraph" w:styleId="905">
    <w:name w:val="ConsPlusNonformat"/>
    <w:next w:val="905"/>
    <w:link w:val="87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06">
    <w:name w:val="Название Знак"/>
    <w:next w:val="906"/>
    <w:link w:val="902"/>
    <w:rPr>
      <w:b/>
      <w:bCs/>
      <w:sz w:val="40"/>
    </w:rPr>
  </w:style>
  <w:style w:type="character" w:styleId="907">
    <w:name w:val="Основной текст_"/>
    <w:next w:val="907"/>
    <w:link w:val="908"/>
    <w:rPr>
      <w:shd w:val="clear" w:color="auto" w:fill="ffffff"/>
    </w:rPr>
  </w:style>
  <w:style w:type="paragraph" w:styleId="908">
    <w:name w:val="Основной текст1"/>
    <w:basedOn w:val="873"/>
    <w:next w:val="908"/>
    <w:link w:val="90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09">
    <w:name w:val="Основной текст Знак"/>
    <w:next w:val="909"/>
    <w:link w:val="884"/>
  </w:style>
  <w:style w:type="paragraph" w:styleId="910">
    <w:name w:val="UserStyle_21"/>
    <w:basedOn w:val="873"/>
    <w:next w:val="902"/>
    <w:link w:val="87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1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3"/>
    <w:next w:val="911"/>
    <w:link w:val="873"/>
    <w:pPr>
      <w:spacing w:before="100" w:beforeAutospacing="1" w:after="100" w:afterAutospacing="1"/>
    </w:pPr>
    <w:rPr>
      <w:sz w:val="24"/>
      <w:szCs w:val="24"/>
    </w:rPr>
  </w:style>
  <w:style w:type="character" w:styleId="912">
    <w:name w:val="fontstyle01"/>
    <w:basedOn w:val="876"/>
    <w:next w:val="912"/>
    <w:link w:val="87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3">
    <w:name w:val="Основной текст 21"/>
    <w:basedOn w:val="873"/>
    <w:next w:val="913"/>
    <w:link w:val="87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4">
    <w:name w:val="Основной текст (4)"/>
    <w:next w:val="914"/>
    <w:link w:val="873"/>
    <w:rPr>
      <w:b/>
      <w:bCs/>
      <w:sz w:val="26"/>
      <w:szCs w:val="26"/>
      <w:lang w:bidi="ar-SA"/>
    </w:rPr>
  </w:style>
  <w:style w:type="character" w:styleId="915">
    <w:name w:val="Основной текст (2)_"/>
    <w:basedOn w:val="876"/>
    <w:next w:val="915"/>
    <w:link w:val="916"/>
    <w:rPr>
      <w:b/>
      <w:bCs/>
      <w:sz w:val="25"/>
      <w:szCs w:val="25"/>
      <w:shd w:val="clear" w:color="auto" w:fill="ffffff"/>
    </w:rPr>
  </w:style>
  <w:style w:type="paragraph" w:styleId="916">
    <w:name w:val="Основной текст (2)"/>
    <w:basedOn w:val="873"/>
    <w:next w:val="916"/>
    <w:link w:val="915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17">
    <w:name w:val="Обычный + По ширине"/>
    <w:basedOn w:val="873"/>
    <w:next w:val="917"/>
    <w:link w:val="873"/>
    <w:pPr>
      <w:jc w:val="both"/>
    </w:pPr>
    <w:rPr>
      <w:sz w:val="28"/>
      <w:szCs w:val="24"/>
    </w:rPr>
  </w:style>
  <w:style w:type="character" w:styleId="918">
    <w:name w:val="Заголовок 1 Знак"/>
    <w:basedOn w:val="876"/>
    <w:next w:val="918"/>
    <w:link w:val="874"/>
    <w:rPr>
      <w:b/>
      <w:bCs/>
      <w:sz w:val="48"/>
      <w:szCs w:val="48"/>
    </w:rPr>
  </w:style>
  <w:style w:type="character" w:styleId="919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76"/>
    <w:next w:val="919"/>
    <w:link w:val="873"/>
  </w:style>
  <w:style w:type="paragraph" w:styleId="920">
    <w:name w:val="Без интервала"/>
    <w:next w:val="920"/>
    <w:link w:val="873"/>
    <w:rPr>
      <w:rFonts w:ascii="Calibri" w:hAnsi="Calibri" w:eastAsia="Calibri"/>
      <w:sz w:val="22"/>
      <w:szCs w:val="22"/>
      <w:lang w:val="ru-RU" w:bidi="ar-SA" w:eastAsia="en-US"/>
    </w:rPr>
  </w:style>
  <w:style w:type="character" w:styleId="921">
    <w:name w:val="Верхний колонтитул Знак"/>
    <w:basedOn w:val="876"/>
    <w:next w:val="921"/>
    <w:link w:val="881"/>
  </w:style>
  <w:style w:type="character" w:styleId="922">
    <w:name w:val="Заголовок 3 Знак"/>
    <w:basedOn w:val="876"/>
    <w:next w:val="922"/>
    <w:link w:val="875"/>
    <w:rPr>
      <w:b/>
      <w:bCs/>
      <w:sz w:val="27"/>
      <w:szCs w:val="27"/>
    </w:rPr>
  </w:style>
  <w:style w:type="character" w:styleId="923">
    <w:name w:val="Текст выноски Знак"/>
    <w:basedOn w:val="876"/>
    <w:next w:val="923"/>
    <w:link w:val="883"/>
    <w:semiHidden/>
    <w:rPr>
      <w:rFonts w:ascii="Tahoma" w:hAnsi="Tahoma"/>
      <w:sz w:val="16"/>
      <w:szCs w:val="16"/>
    </w:rPr>
  </w:style>
  <w:style w:type="paragraph" w:styleId="924">
    <w:name w:val="page_text"/>
    <w:basedOn w:val="873"/>
    <w:next w:val="924"/>
    <w:link w:val="873"/>
    <w:pPr>
      <w:spacing w:before="100" w:beforeAutospacing="1" w:after="100" w:afterAutospacing="1"/>
    </w:pPr>
    <w:rPr>
      <w:sz w:val="24"/>
      <w:szCs w:val="24"/>
    </w:rPr>
  </w:style>
  <w:style w:type="character" w:styleId="925">
    <w:name w:val="Нижний колонтитул Знак"/>
    <w:basedOn w:val="876"/>
    <w:next w:val="925"/>
    <w:link w:val="890"/>
  </w:style>
  <w:style w:type="paragraph" w:styleId="926">
    <w:name w:val="Paragraph Style"/>
    <w:next w:val="926"/>
    <w:link w:val="87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27">
    <w:name w:val="u"/>
    <w:basedOn w:val="873"/>
    <w:next w:val="927"/>
    <w:link w:val="873"/>
    <w:pPr>
      <w:spacing w:before="100" w:beforeAutospacing="1" w:after="100" w:afterAutospacing="1"/>
    </w:pPr>
    <w:rPr>
      <w:sz w:val="24"/>
      <w:szCs w:val="24"/>
    </w:rPr>
  </w:style>
  <w:style w:type="paragraph" w:styleId="928">
    <w:name w:val="ConsNormal"/>
    <w:next w:val="928"/>
    <w:link w:val="873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29">
    <w:name w:val="grame"/>
    <w:basedOn w:val="876"/>
    <w:next w:val="929"/>
    <w:link w:val="873"/>
  </w:style>
  <w:style w:type="paragraph" w:styleId="930">
    <w:name w:val="Текст"/>
    <w:basedOn w:val="873"/>
    <w:next w:val="930"/>
    <w:link w:val="931"/>
    <w:rPr>
      <w:rFonts w:ascii="Courier New" w:hAnsi="Courier New"/>
      <w:b/>
      <w:color w:val="000000"/>
      <w:lang w:val="en-US" w:eastAsia="en-US"/>
    </w:rPr>
  </w:style>
  <w:style w:type="character" w:styleId="931">
    <w:name w:val="Текст Знак"/>
    <w:basedOn w:val="876"/>
    <w:next w:val="931"/>
    <w:link w:val="930"/>
    <w:rPr>
      <w:rFonts w:ascii="Courier New" w:hAnsi="Courier New"/>
      <w:b/>
      <w:color w:val="000000"/>
      <w:lang w:val="en-US" w:eastAsia="en-US"/>
    </w:rPr>
  </w:style>
  <w:style w:type="paragraph" w:styleId="932">
    <w:name w:val="Стандартный HTML"/>
    <w:basedOn w:val="873"/>
    <w:next w:val="932"/>
    <w:link w:val="93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3">
    <w:name w:val="Стандартный HTML Знак"/>
    <w:basedOn w:val="876"/>
    <w:next w:val="933"/>
    <w:link w:val="932"/>
    <w:rPr>
      <w:rFonts w:ascii="Courier New" w:hAnsi="Courier New"/>
      <w:lang w:val="en-US" w:eastAsia="en-US"/>
    </w:rPr>
  </w:style>
  <w:style w:type="paragraph" w:styleId="934">
    <w:name w:val="Table Paragraph"/>
    <w:basedOn w:val="873"/>
    <w:next w:val="934"/>
    <w:link w:val="873"/>
    <w:pPr>
      <w:widowControl w:val="off"/>
    </w:pPr>
    <w:rPr>
      <w:sz w:val="24"/>
      <w:szCs w:val="24"/>
    </w:rPr>
  </w:style>
  <w:style w:type="character" w:styleId="935" w:default="1">
    <w:name w:val="Default Paragraph Font"/>
    <w:uiPriority w:val="1"/>
    <w:semiHidden/>
    <w:unhideWhenUsed/>
  </w:style>
  <w:style w:type="numbering" w:styleId="936" w:default="1">
    <w:name w:val="No List"/>
    <w:uiPriority w:val="99"/>
    <w:semiHidden/>
    <w:unhideWhenUsed/>
  </w:style>
  <w:style w:type="table" w:styleId="9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2023-04-03T13:20:38Z</dcterms:modified>
</cp:coreProperties>
</file>