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33700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943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3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__августа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_553_</w:t>
      </w:r>
      <w:r>
        <w:rPr>
          <w:sz w:val="22"/>
        </w:rPr>
      </w:r>
      <w:r/>
    </w:p>
    <w:p>
      <w:pPr>
        <w:pStyle w:val="95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6"/>
              <w:jc w:val="center"/>
              <w:rPr>
                <w:rStyle w:val="988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Об определении уполномоченного органа и создании комиссии по предоставлению единовременной денежной выплаты гражданам Российской Федерации, </w:t>
            </w:r>
            <w:r/>
          </w:p>
          <w:p>
            <w:pPr>
              <w:pStyle w:val="986"/>
              <w:jc w:val="center"/>
              <w:rPr>
                <w:rStyle w:val="988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постоянно проживающим на территории </w:t>
            </w:r>
            <w:r/>
          </w:p>
          <w:p>
            <w:pPr>
              <w:pStyle w:val="986"/>
              <w:jc w:val="center"/>
              <w:rPr>
                <w:rStyle w:val="988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Грайворонского городского округа </w:t>
            </w:r>
            <w:r/>
          </w:p>
          <w:p>
            <w:pPr>
              <w:pStyle w:val="986"/>
              <w:jc w:val="center"/>
              <w:rPr>
                <w:b/>
                <w:sz w:val="26"/>
                <w:szCs w:val="26"/>
              </w:rPr>
            </w:pP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Белгородской области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957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4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Белгоро</w:t>
      </w:r>
      <w:r>
        <w:rPr>
          <w:sz w:val="28"/>
          <w:szCs w:val="28"/>
        </w:rPr>
        <w:t xml:space="preserve">дской области от 24 марта 2022 года               № 161 «О дополнительных мерах поддержки граждан на территории Белгородской области», постановлением Правительства Белгородской области от 23 мая 2022 года № 301-пп «О дополнительных мерах поддержки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Белгородской области», на основании Устава Грайворонского городского округа Белгородской области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</w:r>
      <w:r/>
    </w:p>
    <w:p>
      <w:pPr>
        <w:pStyle w:val="943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Определить управление социальной защиты населения администрации Грайворонского городского округа (Борисова Т.А.)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органом по организации предоставления единовременной денежной выплаты гражданам Российской Федерации, постоянно проживающим на территории Грайворонского городского округа Белгородской области. </w:t>
      </w:r>
      <w:r>
        <w:rPr>
          <w:bCs/>
          <w:sz w:val="28"/>
          <w:szCs w:val="28"/>
        </w:rPr>
      </w:r>
      <w:r/>
    </w:p>
    <w:p>
      <w:pPr>
        <w:pStyle w:val="956"/>
        <w:ind w:left="0" w:right="-1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Положение о комиссии по предоставлению единовременной денежной выплаты гражданам Российской Федерации, постоянно проживающим на территории Грайворонского городского округа Бел</w:t>
      </w:r>
      <w:r>
        <w:rPr>
          <w:sz w:val="28"/>
          <w:szCs w:val="28"/>
        </w:rPr>
        <w:t xml:space="preserve">городской области (приложение №</w:t>
      </w:r>
      <w:r>
        <w:rPr>
          <w:sz w:val="28"/>
          <w:szCs w:val="28"/>
        </w:rPr>
        <w:t xml:space="preserve">1).</w:t>
      </w:r>
      <w:r/>
    </w:p>
    <w:p>
      <w:pPr>
        <w:pStyle w:val="94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Создать комиссию по предоставлению единовременной денежной выплаты гражданам Российской Федерации, постоянно проживающим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Грайворонского городского округа Белгородской области,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утвердить ее состав (приложение №2).</w:t>
      </w:r>
      <w:r/>
    </w:p>
    <w:p>
      <w:pPr>
        <w:pStyle w:val="943"/>
        <w:ind w:right="-1"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43"/>
        <w:ind w:right="-1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  <w:tab/>
        <w:t xml:space="preserve">Контроль за исполнением постановления оставляю за собой.</w:t>
      </w:r>
      <w:r/>
    </w:p>
    <w:p>
      <w:pPr>
        <w:pStyle w:val="94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18"/>
        <w:gridCol w:w="391"/>
        <w:gridCol w:w="4645"/>
        <w:gridCol w:w="35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09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3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</w:t>
            </w:r>
            <w:r>
              <w:rPr>
                <w:b/>
                <w:bCs/>
                <w:sz w:val="28"/>
                <w:szCs w:val="28"/>
              </w:rPr>
              <w:t xml:space="preserve"> № 1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</w:t>
            </w:r>
            <w:r>
              <w:rPr>
                <w:b/>
                <w:bCs/>
                <w:sz w:val="28"/>
                <w:szCs w:val="28"/>
              </w:rPr>
              <w:t xml:space="preserve"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ем </w:t>
            </w: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«_05_»_августа_2022</w:t>
            </w:r>
            <w:r>
              <w:rPr>
                <w:b/>
                <w:bCs/>
                <w:sz w:val="28"/>
                <w:szCs w:val="28"/>
              </w:rPr>
              <w:t xml:space="preserve"> года №_553_ </w:t>
            </w:r>
            <w:r/>
          </w:p>
        </w:tc>
      </w:tr>
    </w:tbl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комиссии по предоставлению единовременной денежной выплаты гражданам Российской Федерации, постоянно проживающим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на территории Грайворонского городского округа Белгородской области</w:t>
      </w:r>
      <w:r/>
    </w:p>
    <w:p>
      <w:pPr>
        <w:pStyle w:val="9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0"/>
        <w:spacing w:after="250" w:line="260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Комиссия по предоставлению единовременной денежной выплаты гражданам Российс</w:t>
      </w:r>
      <w:r>
        <w:rPr>
          <w:sz w:val="28"/>
          <w:szCs w:val="28"/>
        </w:rPr>
        <w:t xml:space="preserve">кой Федерации, постоянно проживающим на территории Грайворонского городского округа Белгородской области (далее – Комиссия, единовременная выплата), создается в целях реализации постановления Правительства Белгородской области от 23 мая 2022 года № 301-пп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дополнительных мерах поддержки граждан на территории Белгородской области» и является коллегиальным органом.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</w:t>
      </w:r>
      <w:r>
        <w:rPr>
          <w:sz w:val="28"/>
          <w:szCs w:val="28"/>
        </w:rPr>
        <w:t xml:space="preserve">аконами, указами и распоряжениями Президента Российской Федерации, нормативными правовыми актами федеральных органов исполнительной власти в установленной сфере деятельности, постановлениями и распоряжениями Правительства Российской Федерации, Уставом и за</w:t>
      </w:r>
      <w:r>
        <w:rPr>
          <w:sz w:val="28"/>
          <w:szCs w:val="28"/>
        </w:rPr>
        <w:t xml:space="preserve">конами Белгородской области, постановлениями и распоряжениями Губернатора Белгородской области, Правительства Белгородской области, Уставом и иными муниципальными правовыми актами Грайворонского городского округа Белгородской области, настоящим Положением.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</w:r>
      <w:r>
        <w:rPr>
          <w:sz w:val="28"/>
          <w:szCs w:val="28"/>
        </w:rPr>
        <w:t xml:space="preserve">Задачей Комиссии является рассмотрение документов и принятие решения о предоставлении (об отказе в предоставлении) единовременной выплаты, ее размере.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состав Комиссии входят депутаты Белгородской областной Ду</w:t>
      </w:r>
      <w:r>
        <w:rPr>
          <w:sz w:val="28"/>
          <w:szCs w:val="28"/>
        </w:rPr>
        <w:t xml:space="preserve">мы (по согласованию), представители Совета депутатов Грайворонского городского округа (по согласованию), представители структурных подразделений администрации Грайворонского городского округа, представители органов местного самоуправления, государственных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учреждений и иных организаций, расположенных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Грайворонского городского округа (по согласованию).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Председатель Комиссии руководит деятельностью Комиссии, определяет дату и время проведения заседаний Комиссии, а в его отсутствие – заместитель председателя Комиссии. 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Секретарь Комиссии осуществляет организацию проведения заседаний Комиссии, оповещает членов Комиссии о предст</w:t>
      </w:r>
      <w:r>
        <w:rPr>
          <w:sz w:val="28"/>
          <w:szCs w:val="28"/>
        </w:rPr>
        <w:t xml:space="preserve">оящем заседании, подготовку документации для рассмотрения на заседании Комиссии, а также ведение и оформление протоколов заседания Комиссии. В отсутствие секретаря Комиссии его обязанности исполняет другой член Комиссии по поручению председателя Комиссии. 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На заседание Комиссии приглашаются: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заявитель;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органов государственной власти, государственных учреждений, органов местного самоуправления, государственных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учреждений, иных организаций, расположенных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Грайворонского городского округа (по согласованию)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необходимой информации.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принятия Комиссией решений о предоставлении</w:t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(отказе в предоставлении) единовременной выплаты</w:t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заседании Комиссии рассматриваются документы граждан Российской Федерации, постоянно проживающих на территории Грайворонского городского округа Белгородской области, категории которых предусмотрены законом Белгородской области от 24 марта 2022 года № 161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дополнительных мерах поддержки граждан на территории Белгородской области».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Заявление о назначении единовременной выплаты, поступившее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депутата Белгородской областной Думы и документы, представленные гражданином, предоставляются управлением социальной защиты населения администрации Грайворонского городского округа (далее – Управление)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рассмотрения на заседании Комиссии в срок, не превышающий 10 (десяти) рабочих дней со дня регистрации заявления в Управлении.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</w:r>
      <w:r>
        <w:rPr>
          <w:sz w:val="28"/>
          <w:szCs w:val="28"/>
        </w:rPr>
        <w:t xml:space="preserve">В течение 20 (двадцати) рабочих дней со дня регистрации заявления о назначении единовременной выплаты в Управлении Комиссия на своем заседании по итогам голосования членов Комиссии принимает одно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следующих решений: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единовременной выплаты и о ее размере;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предоставлении единовременной выплаты.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Заседани</w:t>
      </w:r>
      <w:r>
        <w:rPr>
          <w:sz w:val="28"/>
          <w:szCs w:val="28"/>
        </w:rPr>
        <w:t xml:space="preserve">я Комиссии проводятся по мере поступления заявлений граждан и считаются правомочными, если на них присутствует не менее половины членов Комиссии. Решения Комиссии принимаются путем открытого голосования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членов Комиссии. При равенстве голосов решающим является голос председателя Комиссии. 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Решения Комиссии в день принятия решения оформляются протоколом, который подписывается председателем Комиссии. В случае отсутствия председателя Комиссии протоколы подписываются заместителем председателя Комиссии.</w:t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.6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Уведомление о предоставлении единовременной выплаты либо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отказе в предоставлении единовременной выплаты направляются заявителю Управлением в срок, не превышающий 5 (пять) рабочих дней со дня принятия Комиссией соответствующего решения.</w:t>
      </w:r>
      <w:r/>
    </w:p>
    <w:p>
      <w:pPr>
        <w:pStyle w:val="94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1"/>
        <w:gridCol w:w="50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9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</w:t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ем </w:t>
            </w: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«_05_»_августа_2022</w:t>
            </w:r>
            <w:r>
              <w:rPr>
                <w:b/>
                <w:bCs/>
                <w:sz w:val="28"/>
                <w:szCs w:val="28"/>
              </w:rPr>
              <w:t xml:space="preserve"> года №_553_ </w:t>
            </w:r>
            <w:r/>
          </w:p>
        </w:tc>
      </w:tr>
    </w:tbl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  <w:br/>
        <w:t xml:space="preserve">комиссии по предоставлению единовременной денежной выплаты гражданам Российской Федерации, постоянно проживающим </w:t>
        <w:br/>
        <w:t xml:space="preserve">на территории Грайворонского городского округа Белгородской области</w:t>
      </w: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82" w:type="dxa"/>
        <w:jc w:val="center"/>
        <w:tblInd w:w="-36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545"/>
        <w:gridCol w:w="539"/>
        <w:gridCol w:w="5698"/>
      </w:tblGrid>
      <w:tr>
        <w:trPr>
          <w:trHeight w:val="55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Геннадий Иванович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>
              <w:rPr>
                <w:b/>
                <w:sz w:val="28"/>
                <w:szCs w:val="28"/>
              </w:rPr>
              <w:t xml:space="preserve">председатель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2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Бляшенко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Анатольевич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Грайворонского городского округа, </w:t>
            </w:r>
            <w:r>
              <w:rPr>
                <w:b/>
                <w:sz w:val="28"/>
                <w:szCs w:val="28"/>
              </w:rPr>
              <w:t xml:space="preserve">заместитель председателя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4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– руководитель аппарата главы администрации, </w:t>
            </w:r>
            <w:r>
              <w:rPr>
                <w:b/>
                <w:sz w:val="28"/>
                <w:szCs w:val="28"/>
              </w:rPr>
              <w:t xml:space="preserve">заместитель председателя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администрации Грайворонского городского округа, </w:t>
            </w:r>
            <w:r>
              <w:rPr>
                <w:b/>
                <w:sz w:val="28"/>
                <w:szCs w:val="28"/>
              </w:rPr>
              <w:t xml:space="preserve">секретарь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2" w:type="dxa"/>
            <w:vAlign w:val="top"/>
            <w:textDirection w:val="lrTb"/>
            <w:noWrap w:val="false"/>
          </w:tcPr>
          <w:p>
            <w:pPr>
              <w:pStyle w:val="9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комиссии:</w:t>
            </w:r>
            <w:r/>
          </w:p>
        </w:tc>
      </w:tr>
      <w:tr>
        <w:trPr>
          <w:trHeight w:val="7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Несветайло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Анатольевич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Белгородской областной Думы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Александрович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Белгородской областной Думы                  (по согласованию)</w:t>
            </w:r>
            <w:r/>
          </w:p>
        </w:tc>
      </w:tr>
      <w:tr>
        <w:trPr>
          <w:trHeight w:val="117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Понеделко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Павлович</w:t>
            </w:r>
            <w:r/>
          </w:p>
          <w:p>
            <w:pPr>
              <w:pStyle w:val="9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Ванина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Вячеславовна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социальной политике</w:t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Твердун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Григорьевич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строительству, транспорту, ЖКХ и ТЭК</w:t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Безгодько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Виолетта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Грайворонского городского округа</w:t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Ягич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Николаевна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 xml:space="preserve">председателя комитета финансов и налоговой политики администрации Грайворонского городского округа</w:t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Чепурная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Ивановна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экономического развития администрации Грайворонского городского округа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Беспалов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палаты Грайворонского городского округа                         (по согласованию)</w:t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Викторовна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Грайворонской местной организации «Всероссийской общественной организации ветеранов (пенсионеров) войны, труда, Вооруженных Сил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правоохранительных органов»                                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6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Пушкарная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ОКУ «Грайворонский ЦЗН»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trHeight w:val="63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</w:t>
            </w:r>
            <w:r/>
          </w:p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Юрьевич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«Грайворонская ЦРБ» (по согласованию)</w:t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территориальных администраций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9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п</w:t>
            </w:r>
            <w:r>
              <w:rPr>
                <w:sz w:val="28"/>
                <w:szCs w:val="28"/>
              </w:rPr>
              <w:t xml:space="preserve">роживания граждан (семей)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separate"/>
    </w:r>
    <w:r>
      <w:rPr>
        <w:rStyle w:val="951"/>
      </w:rPr>
      <w:t xml:space="preserve">6</w: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3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3"/>
    <w:next w:val="943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3"/>
    <w:next w:val="943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3"/>
    <w:next w:val="9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3"/>
    <w:next w:val="943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3"/>
    <w:next w:val="943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3"/>
    <w:next w:val="943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3"/>
    <w:next w:val="943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3"/>
    <w:next w:val="943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3"/>
    <w:next w:val="943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next w:val="943"/>
    <w:link w:val="943"/>
    <w:rPr>
      <w:lang w:val="ru-RU" w:bidi="ar-SA" w:eastAsia="ru-RU"/>
    </w:rPr>
  </w:style>
  <w:style w:type="paragraph" w:styleId="944">
    <w:name w:val="Заголовок 1"/>
    <w:basedOn w:val="943"/>
    <w:next w:val="944"/>
    <w:link w:val="98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45">
    <w:name w:val="Основной шрифт абзаца"/>
    <w:next w:val="945"/>
    <w:link w:val="943"/>
    <w:semiHidden/>
  </w:style>
  <w:style w:type="table" w:styleId="946">
    <w:name w:val="Обычная таблица"/>
    <w:next w:val="946"/>
    <w:link w:val="943"/>
    <w:semiHidden/>
    <w:tblPr/>
  </w:style>
  <w:style w:type="numbering" w:styleId="947">
    <w:name w:val="Нет списка"/>
    <w:next w:val="947"/>
    <w:link w:val="943"/>
    <w:semiHidden/>
  </w:style>
  <w:style w:type="table" w:styleId="948">
    <w:name w:val="Сетка таблицы"/>
    <w:basedOn w:val="946"/>
    <w:next w:val="948"/>
    <w:link w:val="943"/>
    <w:tblPr/>
  </w:style>
  <w:style w:type="paragraph" w:styleId="949">
    <w:name w:val="Основной текст с отступом 2"/>
    <w:basedOn w:val="943"/>
    <w:next w:val="949"/>
    <w:link w:val="943"/>
    <w:pPr>
      <w:ind w:left="283"/>
      <w:spacing w:after="120" w:line="480" w:lineRule="auto"/>
    </w:pPr>
  </w:style>
  <w:style w:type="paragraph" w:styleId="950">
    <w:name w:val="Верхний колонтитул"/>
    <w:basedOn w:val="943"/>
    <w:next w:val="950"/>
    <w:link w:val="943"/>
    <w:pPr>
      <w:tabs>
        <w:tab w:val="center" w:pos="4677" w:leader="none"/>
        <w:tab w:val="right" w:pos="9355" w:leader="none"/>
      </w:tabs>
    </w:pPr>
  </w:style>
  <w:style w:type="character" w:styleId="951">
    <w:name w:val="Номер страницы"/>
    <w:basedOn w:val="945"/>
    <w:next w:val="951"/>
    <w:link w:val="943"/>
  </w:style>
  <w:style w:type="paragraph" w:styleId="952">
    <w:name w:val="Текст выноски"/>
    <w:basedOn w:val="943"/>
    <w:next w:val="952"/>
    <w:link w:val="943"/>
    <w:semiHidden/>
    <w:rPr>
      <w:rFonts w:ascii="Tahoma" w:hAnsi="Tahoma"/>
      <w:sz w:val="16"/>
      <w:szCs w:val="16"/>
    </w:rPr>
  </w:style>
  <w:style w:type="paragraph" w:styleId="953">
    <w:name w:val="Основной текст"/>
    <w:basedOn w:val="943"/>
    <w:next w:val="953"/>
    <w:link w:val="978"/>
    <w:pPr>
      <w:spacing w:after="120"/>
    </w:pPr>
  </w:style>
  <w:style w:type="paragraph" w:styleId="954">
    <w:name w:val="Обычный (веб)"/>
    <w:basedOn w:val="943"/>
    <w:next w:val="954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5">
    <w:name w:val="Основной текст с отступом Знак"/>
    <w:next w:val="955"/>
    <w:link w:val="956"/>
    <w:rPr>
      <w:sz w:val="24"/>
      <w:szCs w:val="24"/>
      <w:lang w:val="ru-RU" w:bidi="ar-SA" w:eastAsia="ru-RU"/>
    </w:rPr>
  </w:style>
  <w:style w:type="paragraph" w:styleId="956">
    <w:name w:val="Основной текст с отступом"/>
    <w:basedOn w:val="943"/>
    <w:next w:val="956"/>
    <w:link w:val="955"/>
    <w:pPr>
      <w:ind w:left="283"/>
      <w:spacing w:after="120"/>
    </w:pPr>
    <w:rPr>
      <w:sz w:val="24"/>
      <w:szCs w:val="24"/>
    </w:rPr>
  </w:style>
  <w:style w:type="paragraph" w:styleId="957">
    <w:name w:val="List Paragraph"/>
    <w:basedOn w:val="943"/>
    <w:next w:val="957"/>
    <w:link w:val="943"/>
    <w:pPr>
      <w:contextualSpacing/>
      <w:ind w:left="720"/>
    </w:pPr>
    <w:rPr>
      <w:rFonts w:eastAsia="Calibri"/>
      <w:sz w:val="24"/>
      <w:szCs w:val="24"/>
    </w:rPr>
  </w:style>
  <w:style w:type="paragraph" w:styleId="958">
    <w:name w:val="ConsPlusNormal"/>
    <w:next w:val="958"/>
    <w:link w:val="962"/>
    <w:pPr>
      <w:widowControl w:val="off"/>
    </w:pPr>
    <w:rPr>
      <w:rFonts w:ascii="Arial" w:hAnsi="Arial"/>
      <w:lang w:val="ru-RU" w:bidi="ar-SA" w:eastAsia="ru-RU"/>
    </w:rPr>
  </w:style>
  <w:style w:type="paragraph" w:styleId="959">
    <w:name w:val="Нижний колонтитул"/>
    <w:basedOn w:val="943"/>
    <w:next w:val="959"/>
    <w:link w:val="943"/>
    <w:pPr>
      <w:tabs>
        <w:tab w:val="center" w:pos="4677" w:leader="none"/>
        <w:tab w:val="right" w:pos="9355" w:leader="none"/>
      </w:tabs>
    </w:pPr>
  </w:style>
  <w:style w:type="character" w:styleId="960">
    <w:name w:val="Гиперссылка"/>
    <w:next w:val="960"/>
    <w:link w:val="943"/>
    <w:rPr>
      <w:color w:val="0000FF"/>
      <w:u w:val="single"/>
    </w:rPr>
  </w:style>
  <w:style w:type="character" w:styleId="961">
    <w:name w:val="Строгий"/>
    <w:next w:val="961"/>
    <w:link w:val="943"/>
    <w:rPr>
      <w:b/>
      <w:bCs/>
    </w:rPr>
  </w:style>
  <w:style w:type="character" w:styleId="962">
    <w:name w:val="ConsPlusNormal Знак"/>
    <w:next w:val="962"/>
    <w:link w:val="958"/>
    <w:rPr>
      <w:rFonts w:ascii="Arial" w:hAnsi="Arial"/>
      <w:lang w:val="ru-RU" w:bidi="ar-SA" w:eastAsia="ru-RU"/>
    </w:rPr>
  </w:style>
  <w:style w:type="paragraph" w:styleId="963">
    <w:name w:val="ConsPlusTitle"/>
    <w:next w:val="963"/>
    <w:link w:val="94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4">
    <w:name w:val="Основной текст 2"/>
    <w:basedOn w:val="943"/>
    <w:next w:val="964"/>
    <w:link w:val="965"/>
    <w:pPr>
      <w:spacing w:after="120" w:line="480" w:lineRule="auto"/>
    </w:pPr>
    <w:rPr>
      <w:rFonts w:eastAsia="Calibri"/>
      <w:sz w:val="24"/>
      <w:szCs w:val="24"/>
    </w:rPr>
  </w:style>
  <w:style w:type="character" w:styleId="965">
    <w:name w:val="Основной текст 2 Знак"/>
    <w:next w:val="965"/>
    <w:link w:val="964"/>
    <w:rPr>
      <w:rFonts w:eastAsia="Calibri"/>
      <w:sz w:val="24"/>
      <w:szCs w:val="24"/>
      <w:lang w:val="ru-RU" w:bidi="ar-SA" w:eastAsia="ru-RU"/>
    </w:rPr>
  </w:style>
  <w:style w:type="paragraph" w:styleId="966">
    <w:name w:val="Абзац списка"/>
    <w:basedOn w:val="943"/>
    <w:next w:val="966"/>
    <w:link w:val="943"/>
    <w:pPr>
      <w:contextualSpacing/>
      <w:ind w:left="720"/>
    </w:pPr>
    <w:rPr>
      <w:sz w:val="24"/>
      <w:szCs w:val="24"/>
    </w:rPr>
  </w:style>
  <w:style w:type="paragraph" w:styleId="967">
    <w:name w:val="western"/>
    <w:basedOn w:val="943"/>
    <w:next w:val="967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8">
    <w:name w:val="Основной текст с отступом 21"/>
    <w:basedOn w:val="943"/>
    <w:next w:val="968"/>
    <w:link w:val="943"/>
    <w:pPr>
      <w:ind w:left="720" w:hanging="851"/>
      <w:jc w:val="both"/>
    </w:pPr>
    <w:rPr>
      <w:sz w:val="28"/>
      <w:lang w:eastAsia="ar-SA"/>
    </w:rPr>
  </w:style>
  <w:style w:type="character" w:styleId="969">
    <w:name w:val="Body text_"/>
    <w:next w:val="969"/>
    <w:link w:val="970"/>
    <w:rPr>
      <w:sz w:val="25"/>
      <w:szCs w:val="25"/>
      <w:lang w:bidi="ar-SA"/>
    </w:rPr>
  </w:style>
  <w:style w:type="paragraph" w:styleId="970">
    <w:name w:val="Body text"/>
    <w:basedOn w:val="943"/>
    <w:next w:val="970"/>
    <w:link w:val="96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1">
    <w:name w:val="Название"/>
    <w:basedOn w:val="943"/>
    <w:next w:val="971"/>
    <w:link w:val="97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2">
    <w:name w:val="Font Style11"/>
    <w:next w:val="972"/>
    <w:link w:val="943"/>
    <w:rPr>
      <w:rFonts w:ascii="Times New Roman" w:hAnsi="Times New Roman"/>
      <w:sz w:val="24"/>
      <w:szCs w:val="24"/>
    </w:rPr>
  </w:style>
  <w:style w:type="paragraph" w:styleId="973">
    <w:name w:val="Основной текст 3"/>
    <w:basedOn w:val="943"/>
    <w:next w:val="973"/>
    <w:link w:val="943"/>
    <w:pPr>
      <w:spacing w:after="120"/>
    </w:pPr>
    <w:rPr>
      <w:sz w:val="16"/>
      <w:szCs w:val="16"/>
    </w:rPr>
  </w:style>
  <w:style w:type="paragraph" w:styleId="974">
    <w:name w:val="ConsPlusNonformat"/>
    <w:next w:val="974"/>
    <w:link w:val="94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5">
    <w:name w:val="Название Знак"/>
    <w:next w:val="975"/>
    <w:link w:val="971"/>
    <w:rPr>
      <w:b/>
      <w:bCs/>
      <w:sz w:val="40"/>
    </w:rPr>
  </w:style>
  <w:style w:type="character" w:styleId="976">
    <w:name w:val="Основной текст_"/>
    <w:next w:val="976"/>
    <w:link w:val="977"/>
    <w:rPr>
      <w:shd w:val="clear" w:color="auto" w:fill="ffffff"/>
    </w:rPr>
  </w:style>
  <w:style w:type="paragraph" w:styleId="977">
    <w:name w:val="Основной текст1"/>
    <w:basedOn w:val="943"/>
    <w:next w:val="977"/>
    <w:link w:val="97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8">
    <w:name w:val="Основной текст Знак"/>
    <w:next w:val="978"/>
    <w:link w:val="953"/>
  </w:style>
  <w:style w:type="paragraph" w:styleId="979">
    <w:name w:val="UserStyle_17"/>
    <w:basedOn w:val="943"/>
    <w:next w:val="971"/>
    <w:link w:val="94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8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3"/>
    <w:next w:val="980"/>
    <w:link w:val="943"/>
    <w:pPr>
      <w:spacing w:before="100" w:beforeAutospacing="1" w:after="100" w:afterAutospacing="1"/>
    </w:pPr>
    <w:rPr>
      <w:sz w:val="24"/>
      <w:szCs w:val="24"/>
    </w:rPr>
  </w:style>
  <w:style w:type="character" w:styleId="981">
    <w:name w:val="fontstyle01"/>
    <w:basedOn w:val="945"/>
    <w:next w:val="981"/>
    <w:link w:val="94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2">
    <w:name w:val="Основной текст 21"/>
    <w:basedOn w:val="943"/>
    <w:next w:val="982"/>
    <w:link w:val="94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3">
    <w:name w:val="Основной текст (4)"/>
    <w:next w:val="983"/>
    <w:link w:val="943"/>
    <w:rPr>
      <w:b/>
      <w:bCs/>
      <w:sz w:val="26"/>
      <w:szCs w:val="26"/>
      <w:lang w:bidi="ar-SA"/>
    </w:rPr>
  </w:style>
  <w:style w:type="character" w:styleId="984">
    <w:name w:val="Основной текст (2)_"/>
    <w:basedOn w:val="945"/>
    <w:next w:val="984"/>
    <w:link w:val="985"/>
    <w:rPr>
      <w:b/>
      <w:bCs/>
      <w:sz w:val="25"/>
      <w:szCs w:val="25"/>
      <w:shd w:val="clear" w:color="auto" w:fill="ffffff"/>
    </w:rPr>
  </w:style>
  <w:style w:type="paragraph" w:styleId="985">
    <w:name w:val="Основной текст (2)"/>
    <w:basedOn w:val="943"/>
    <w:next w:val="985"/>
    <w:link w:val="98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6">
    <w:name w:val="Обычный + По ширине"/>
    <w:basedOn w:val="943"/>
    <w:next w:val="986"/>
    <w:link w:val="943"/>
    <w:pPr>
      <w:jc w:val="both"/>
    </w:pPr>
    <w:rPr>
      <w:sz w:val="28"/>
      <w:szCs w:val="24"/>
    </w:rPr>
  </w:style>
  <w:style w:type="character" w:styleId="987">
    <w:name w:val="Заголовок 1 Знак"/>
    <w:basedOn w:val="945"/>
    <w:next w:val="987"/>
    <w:link w:val="944"/>
    <w:rPr>
      <w:b/>
      <w:bCs/>
      <w:sz w:val="48"/>
      <w:szCs w:val="48"/>
    </w:rPr>
  </w:style>
  <w:style w:type="character" w:styleId="988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45"/>
    <w:next w:val="988"/>
    <w:link w:val="943"/>
  </w:style>
  <w:style w:type="character" w:styleId="989">
    <w:name w:val="Основной текст (3)_"/>
    <w:basedOn w:val="945"/>
    <w:next w:val="989"/>
    <w:link w:val="990"/>
    <w:rPr>
      <w:b/>
      <w:bCs/>
      <w:sz w:val="26"/>
      <w:szCs w:val="26"/>
      <w:shd w:val="clear" w:color="auto" w:fill="ffffff"/>
    </w:rPr>
  </w:style>
  <w:style w:type="paragraph" w:styleId="990">
    <w:name w:val="Основной текст (3)"/>
    <w:basedOn w:val="943"/>
    <w:next w:val="990"/>
    <w:link w:val="989"/>
    <w:pPr>
      <w:jc w:val="center"/>
      <w:spacing w:line="590" w:lineRule="exact"/>
      <w:shd w:val="clear" w:color="auto" w:fill="ffffff"/>
      <w:widowControl w:val="off"/>
    </w:pPr>
    <w:rPr>
      <w:b/>
      <w:bCs/>
      <w:sz w:val="26"/>
      <w:szCs w:val="26"/>
    </w:rPr>
  </w:style>
  <w:style w:type="character" w:styleId="991">
    <w:name w:val="Заголовок №1_"/>
    <w:basedOn w:val="945"/>
    <w:next w:val="991"/>
    <w:link w:val="992"/>
    <w:rPr>
      <w:b/>
      <w:bCs/>
      <w:sz w:val="26"/>
      <w:szCs w:val="26"/>
      <w:shd w:val="clear" w:color="auto" w:fill="ffffff"/>
    </w:rPr>
  </w:style>
  <w:style w:type="paragraph" w:styleId="992">
    <w:name w:val="Заголовок №1"/>
    <w:basedOn w:val="943"/>
    <w:next w:val="992"/>
    <w:link w:val="991"/>
    <w:pPr>
      <w:spacing w:line="240" w:lineRule="atLeast"/>
      <w:shd w:val="clear" w:color="auto" w:fill="ffffff"/>
      <w:widowControl w:val="off"/>
      <w:outlineLvl w:val="0"/>
    </w:pPr>
    <w:rPr>
      <w:b/>
      <w:bCs/>
      <w:sz w:val="26"/>
      <w:szCs w:val="26"/>
    </w:rPr>
  </w:style>
  <w:style w:type="character" w:styleId="993" w:default="1">
    <w:name w:val="Default Paragraph Font"/>
    <w:uiPriority w:val="1"/>
    <w:semiHidden/>
    <w:unhideWhenUsed/>
  </w:style>
  <w:style w:type="numbering" w:styleId="994" w:default="1">
    <w:name w:val="No List"/>
    <w:uiPriority w:val="99"/>
    <w:semiHidden/>
    <w:unhideWhenUsed/>
  </w:style>
  <w:style w:type="table" w:styleId="9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2022-08-05T08:01:23Z</dcterms:modified>
</cp:coreProperties>
</file>