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9585858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3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3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31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3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3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3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3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31"/>
        <w:jc w:val="both"/>
        <w:rPr>
          <w:sz w:val="22"/>
        </w:rPr>
      </w:pPr>
      <w:r>
        <w:rPr>
          <w:b/>
          <w:sz w:val="22"/>
          <w:szCs w:val="18"/>
        </w:rPr>
        <w:t xml:space="preserve">«_14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__сентября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_619_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31"/>
        <w:jc w:val="center"/>
      </w:pPr>
      <w:r>
        <w:rPr>
          <w:b/>
        </w:rPr>
      </w:r>
      <w:r>
        <w:rPr>
          <w:b/>
        </w:rPr>
      </w:r>
      <w:r/>
    </w:p>
    <w:p>
      <w:pPr>
        <w:pStyle w:val="745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4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70"/>
              <w:jc w:val="cente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карт-планов территорий в границах кадастровых кварталов: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05</w:t>
            </w:r>
            <w:r>
              <w:rPr>
                <w:b/>
                <w:bCs/>
                <w:sz w:val="28"/>
                <w:szCs w:val="28"/>
              </w:rPr>
              <w:t xml:space="preserve">02001, 31:13:</w:t>
            </w:r>
            <w:r>
              <w:rPr>
                <w:b/>
                <w:bCs/>
                <w:sz w:val="28"/>
                <w:szCs w:val="28"/>
              </w:rPr>
              <w:t xml:space="preserve">0502002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4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5"/>
        <w:ind w:left="0" w:firstLine="709"/>
        <w:jc w:val="both"/>
        <w:tabs>
          <w:tab w:val="left" w:pos="127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7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42.</w:t>
      </w:r>
      <w:bookmarkStart w:id="0" w:name="_GoBack"/>
      <w:r/>
      <w:bookmarkEnd w:id="0"/>
      <w:r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42.10 Федерального закона от 24 июля 2007 года № 221-ФЗ «О кадастровой деятельности», постановлением администрации Грайворонского городского округа от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187</w:t>
      </w:r>
      <w:r>
        <w:rPr>
          <w:sz w:val="28"/>
          <w:szCs w:val="28"/>
        </w:rPr>
        <w:t xml:space="preserve"> «О проведении комплексных кадастровых работ на территории Грайворонского городского округа», распоряжением администрации Грайворонского городского округа от </w:t>
      </w:r>
      <w:r>
        <w:rPr>
          <w:sz w:val="28"/>
          <w:szCs w:val="28"/>
        </w:rPr>
        <w:t xml:space="preserve">27 апреля</w:t>
      </w:r>
      <w:r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 xml:space="preserve">442</w:t>
      </w:r>
      <w:r>
        <w:rPr>
          <w:sz w:val="28"/>
          <w:szCs w:val="28"/>
        </w:rPr>
        <w:t xml:space="preserve">-р «О создании согласительной комиссии по согласованию местоположения границ земельных участков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выполнении комплексных кадастровых работ на территории Грайворонского городского округа</w:t>
      </w:r>
      <w:r>
        <w:rPr>
          <w:color w:val="000000"/>
          <w:sz w:val="28"/>
          <w:szCs w:val="28"/>
        </w:rPr>
        <w:t xml:space="preserve">», с учетом протоколов заседания согласительной комиссии от 19 июля 2022 года № 1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от 05 сентября 2022 года № 2 по вопросу согласования местоположения границ земельных участков, расположенных в границах кадастровых кварталов с учетными </w:t>
      </w:r>
      <w:r>
        <w:rPr>
          <w:sz w:val="28"/>
          <w:szCs w:val="28"/>
        </w:rPr>
        <w:t xml:space="preserve">номерами: 31:13: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502001, 31:13: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502002, при выполнении комплексных кадастровых работ на основании муниципального контракта от 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01266000015220000</w:t>
      </w:r>
      <w:r>
        <w:rPr>
          <w:sz w:val="28"/>
          <w:szCs w:val="28"/>
        </w:rPr>
        <w:t xml:space="preserve">77</w:t>
      </w:r>
      <w:r>
        <w:rPr>
          <w:sz w:val="28"/>
          <w:szCs w:val="28"/>
        </w:rPr>
        <w:t xml:space="preserve">/2022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заключения согласительной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</w:t>
      </w:r>
      <w:r>
        <w:rPr>
          <w:sz w:val="28"/>
          <w:szCs w:val="28"/>
        </w:rPr>
        <w:t xml:space="preserve"> 2022 года №1 о результатах рассмотрения возражений заинтересованных лиц относительно местоположения границ земельных участков, установленных при выполнении комплексных кадастровых работ</w:t>
      </w:r>
      <w:r>
        <w:rPr>
          <w:bCs/>
          <w:sz w:val="28"/>
          <w:szCs w:val="28"/>
        </w:rPr>
        <w:t xml:space="preserve"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40"/>
          <w:sz w:val="28"/>
          <w:szCs w:val="28"/>
        </w:rPr>
        <w:t xml:space="preserve">постановля</w:t>
      </w:r>
      <w:r>
        <w:rPr>
          <w:b/>
          <w:bCs/>
          <w:sz w:val="28"/>
          <w:szCs w:val="28"/>
        </w:rPr>
        <w:t xml:space="preserve">ю:</w:t>
      </w:r>
      <w:r>
        <w:rPr>
          <w:sz w:val="28"/>
          <w:szCs w:val="28"/>
        </w:rPr>
      </w:r>
      <w:r/>
    </w:p>
    <w:p>
      <w:pPr>
        <w:pStyle w:val="778"/>
        <w:numPr>
          <w:ilvl w:val="0"/>
          <w:numId w:val="49"/>
        </w:numPr>
        <w:ind w:left="0" w:firstLine="720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карт-</w:t>
      </w:r>
      <w:r>
        <w:rPr>
          <w:color w:val="000000"/>
          <w:sz w:val="28"/>
          <w:szCs w:val="28"/>
        </w:rPr>
        <w:t xml:space="preserve">планы </w:t>
      </w:r>
      <w:r>
        <w:rPr>
          <w:bCs/>
          <w:color w:val="000000"/>
          <w:sz w:val="28"/>
          <w:szCs w:val="28"/>
        </w:rPr>
        <w:t xml:space="preserve">территорий в границах кадастровых кварталов: </w:t>
      </w:r>
      <w:r>
        <w:rPr>
          <w:sz w:val="28"/>
          <w:szCs w:val="28"/>
        </w:rPr>
        <w:t xml:space="preserve">31:13: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502001, 31:13: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502002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расположенных на территории Грайворонского городского округа, размещенные на </w:t>
      </w:r>
      <w:r>
        <w:rPr>
          <w:color w:val="000000"/>
          <w:sz w:val="28"/>
          <w:szCs w:val="28"/>
        </w:rPr>
        <w:t xml:space="preserve">официальном сайте о</w:t>
      </w:r>
      <w:r>
        <w:rPr>
          <w:color w:val="000000"/>
          <w:sz w:val="28"/>
          <w:szCs w:val="28"/>
          <w:shd w:val="clear" w:color="auto" w:fill="ffffff"/>
        </w:rPr>
        <w:t xml:space="preserve">рганов местного самоуправления </w:t>
      </w:r>
      <w:r>
        <w:rPr>
          <w:color w:val="000000"/>
          <w:sz w:val="28"/>
          <w:szCs w:val="28"/>
        </w:rPr>
        <w:t xml:space="preserve">Грайворонского городского округа Белгородской области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сети Интернет</w:t>
      </w:r>
      <w:r>
        <w:rPr>
          <w:sz w:val="28"/>
          <w:szCs w:val="28"/>
        </w:rPr>
        <w:t xml:space="preserve"> по адресу: graivoron.ru/deyatelnost/zemelnye-i-imushestvennye-otnosheniya/kompleksnye-kadastrovye-raboty-kkr/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778"/>
        <w:ind w:left="720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78"/>
        <w:ind w:left="720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78"/>
        <w:numPr>
          <w:ilvl w:val="0"/>
          <w:numId w:val="49"/>
        </w:numPr>
        <w:ind w:left="0"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собственности и земельных ресурсов администрации Грайворонского </w:t>
      </w:r>
      <w:r>
        <w:rPr>
          <w:sz w:val="28"/>
          <w:szCs w:val="28"/>
        </w:rPr>
        <w:t xml:space="preserve">городского округа (Зайцев А.В.)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установленном действующим законодательством порядке внесение в Единый государственный реестр недвижимости сведений о земельных участках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 местоположении на них зданий, сооружений, объектов незавершенного строительства, полученных в результате выполнени</w:t>
      </w:r>
      <w:r>
        <w:rPr>
          <w:sz w:val="28"/>
          <w:szCs w:val="28"/>
        </w:rPr>
        <w:t xml:space="preserve">я комплексных кадастровых работ.</w:t>
      </w:r>
      <w:r/>
    </w:p>
    <w:p>
      <w:pPr>
        <w:pStyle w:val="778"/>
        <w:numPr>
          <w:ilvl w:val="0"/>
          <w:numId w:val="49"/>
        </w:numPr>
        <w:ind w:left="0"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сетевом издании «Родной край 31» (</w:t>
      </w:r>
      <w:r>
        <w:rPr>
          <w:sz w:val="28"/>
          <w:szCs w:val="28"/>
          <w:lang w:val="en-US"/>
        </w:rPr>
        <w:t xml:space="preserve">rodkray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graivoron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31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оставляю за собой.</w:t>
      </w:r>
      <w:r/>
    </w:p>
    <w:p>
      <w:pPr>
        <w:pStyle w:val="73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503"/>
        <w:gridCol w:w="524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731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 обязанности </w:t>
            </w:r>
            <w:r/>
          </w:p>
          <w:p>
            <w:pPr>
              <w:pStyle w:val="731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4" w:type="dxa"/>
            <w:vAlign w:val="top"/>
            <w:textDirection w:val="lrTb"/>
            <w:noWrap w:val="false"/>
          </w:tcPr>
          <w:p>
            <w:pPr>
              <w:pStyle w:val="73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3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Бляшенко 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8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739"/>
      </w:rPr>
      <w:framePr w:wrap="around" w:vAnchor="text" w:hAnchor="margin" w:xAlign="center" w:y="1"/>
    </w:pPr>
    <w:r>
      <w:rPr>
        <w:rStyle w:val="739"/>
      </w:rPr>
      <w:fldChar w:fldCharType="begin"/>
    </w:r>
    <w:r>
      <w:rPr>
        <w:rStyle w:val="739"/>
      </w:rPr>
      <w:instrText xml:space="preserve">PAGE  </w:instrText>
    </w:r>
    <w:r>
      <w:rPr>
        <w:rStyle w:val="739"/>
      </w:rPr>
      <w:fldChar w:fldCharType="separate"/>
    </w:r>
    <w:r>
      <w:rPr>
        <w:rStyle w:val="739"/>
      </w:rPr>
      <w:t xml:space="preserve">2</w:t>
    </w:r>
    <w:r>
      <w:rPr>
        <w:rStyle w:val="739"/>
      </w:rPr>
      <w:fldChar w:fldCharType="end"/>
    </w:r>
    <w:r>
      <w:rPr>
        <w:rStyle w:val="739"/>
      </w:rPr>
    </w:r>
    <w:r/>
  </w:p>
  <w:p>
    <w:pPr>
      <w:pStyle w:val="7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739"/>
      </w:rPr>
      <w:framePr w:wrap="around" w:vAnchor="text" w:hAnchor="margin" w:xAlign="center" w:y="1"/>
    </w:pPr>
    <w:r>
      <w:rPr>
        <w:rStyle w:val="739"/>
      </w:rPr>
      <w:fldChar w:fldCharType="begin"/>
    </w:r>
    <w:r>
      <w:rPr>
        <w:rStyle w:val="739"/>
      </w:rPr>
      <w:instrText xml:space="preserve">PAGE  </w:instrText>
    </w:r>
    <w:r>
      <w:rPr>
        <w:rStyle w:val="739"/>
      </w:rPr>
      <w:fldChar w:fldCharType="end"/>
    </w:r>
    <w:r>
      <w:rPr>
        <w:rStyle w:val="739"/>
      </w:rPr>
    </w:r>
    <w:r/>
  </w:p>
  <w:p>
    <w:pPr>
      <w:pStyle w:val="7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31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3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31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31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31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31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31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31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1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1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31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31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31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31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31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31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1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1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1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1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759" w:hanging="105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87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4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7254" w:hanging="180"/>
      </w:pPr>
    </w:lvl>
  </w:abstractNum>
  <w:abstractNum w:abstractNumId="4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6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31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1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1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1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1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1"/>
        <w:ind w:left="6830" w:hanging="360"/>
        <w:tabs>
          <w:tab w:val="num" w:pos="683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1"/>
        <w:ind w:left="7832" w:hanging="216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7"/>
  </w:num>
  <w:num w:numId="4">
    <w:abstractNumId w:val="48"/>
  </w:num>
  <w:num w:numId="5">
    <w:abstractNumId w:val="38"/>
  </w:num>
  <w:num w:numId="6">
    <w:abstractNumId w:val="30"/>
  </w:num>
  <w:num w:numId="7">
    <w:abstractNumId w:val="1"/>
  </w:num>
  <w:num w:numId="8">
    <w:abstractNumId w:val="10"/>
  </w:num>
  <w:num w:numId="9">
    <w:abstractNumId w:val="37"/>
  </w:num>
  <w:num w:numId="10">
    <w:abstractNumId w:val="20"/>
  </w:num>
  <w:num w:numId="11">
    <w:abstractNumId w:val="44"/>
  </w:num>
  <w:num w:numId="12">
    <w:abstractNumId w:val="21"/>
  </w:num>
  <w:num w:numId="13">
    <w:abstractNumId w:val="25"/>
  </w:num>
  <w:num w:numId="14">
    <w:abstractNumId w:val="29"/>
  </w:num>
  <w:num w:numId="15">
    <w:abstractNumId w:val="32"/>
  </w:num>
  <w:num w:numId="16">
    <w:abstractNumId w:val="34"/>
  </w:num>
  <w:num w:numId="17">
    <w:abstractNumId w:val="36"/>
  </w:num>
  <w:num w:numId="18">
    <w:abstractNumId w:val="18"/>
  </w:num>
  <w:num w:numId="19">
    <w:abstractNumId w:val="13"/>
  </w:num>
  <w:num w:numId="20">
    <w:abstractNumId w:val="40"/>
  </w:num>
  <w:num w:numId="21">
    <w:abstractNumId w:val="6"/>
  </w:num>
  <w:num w:numId="22">
    <w:abstractNumId w:val="15"/>
  </w:num>
  <w:num w:numId="23">
    <w:abstractNumId w:val="23"/>
  </w:num>
  <w:num w:numId="24">
    <w:abstractNumId w:val="22"/>
  </w:num>
  <w:num w:numId="25">
    <w:abstractNumId w:val="31"/>
  </w:num>
  <w:num w:numId="26">
    <w:abstractNumId w:val="5"/>
  </w:num>
  <w:num w:numId="27">
    <w:abstractNumId w:val="16"/>
  </w:num>
  <w:num w:numId="28">
    <w:abstractNumId w:val="11"/>
  </w:num>
  <w:num w:numId="29">
    <w:abstractNumId w:val="45"/>
  </w:num>
  <w:num w:numId="30">
    <w:abstractNumId w:val="42"/>
  </w:num>
  <w:num w:numId="31">
    <w:abstractNumId w:val="4"/>
  </w:num>
  <w:num w:numId="32">
    <w:abstractNumId w:val="7"/>
  </w:num>
  <w:num w:numId="33">
    <w:abstractNumId w:val="35"/>
  </w:num>
  <w:num w:numId="34">
    <w:abstractNumId w:val="39"/>
  </w:num>
  <w:num w:numId="35">
    <w:abstractNumId w:val="12"/>
  </w:num>
  <w:num w:numId="36">
    <w:abstractNumId w:val="9"/>
  </w:num>
  <w:num w:numId="37">
    <w:abstractNumId w:val="14"/>
  </w:num>
  <w:num w:numId="38">
    <w:abstractNumId w:val="27"/>
  </w:num>
  <w:num w:numId="39">
    <w:abstractNumId w:val="19"/>
  </w:num>
  <w:num w:numId="40">
    <w:abstractNumId w:val="43"/>
  </w:num>
  <w:num w:numId="41">
    <w:abstractNumId w:val="0"/>
  </w:num>
  <w:num w:numId="42">
    <w:abstractNumId w:val="28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3"/>
  </w:num>
  <w:num w:numId="46">
    <w:abstractNumId w:val="41"/>
  </w:num>
  <w:num w:numId="47">
    <w:abstractNumId w:val="8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1"/>
    <w:next w:val="73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1"/>
    <w:next w:val="73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1"/>
    <w:next w:val="73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1"/>
    <w:next w:val="73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1"/>
    <w:next w:val="73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1"/>
    <w:next w:val="73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1"/>
    <w:next w:val="73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1"/>
    <w:next w:val="73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1"/>
    <w:next w:val="73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1"/>
    <w:next w:val="73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31"/>
    <w:next w:val="73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31"/>
    <w:next w:val="73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1"/>
    <w:next w:val="73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3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3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31"/>
    <w:next w:val="7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3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31"/>
    <w:next w:val="73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1"/>
    <w:next w:val="73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1"/>
    <w:next w:val="73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1"/>
    <w:next w:val="73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1"/>
    <w:next w:val="73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1"/>
    <w:next w:val="73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1"/>
    <w:next w:val="73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1"/>
    <w:next w:val="73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1"/>
    <w:next w:val="73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1"/>
    <w:next w:val="731"/>
    <w:uiPriority w:val="99"/>
    <w:unhideWhenUsed/>
    <w:pPr>
      <w:spacing w:after="0" w:afterAutospacing="0"/>
    </w:pPr>
  </w:style>
  <w:style w:type="paragraph" w:styleId="731" w:default="1">
    <w:name w:val="Normal"/>
    <w:next w:val="731"/>
    <w:link w:val="731"/>
    <w:rPr>
      <w:lang w:val="ru-RU" w:bidi="ar-SA" w:eastAsia="ru-RU"/>
    </w:rPr>
  </w:style>
  <w:style w:type="paragraph" w:styleId="732">
    <w:name w:val="Заголовок 1"/>
    <w:basedOn w:val="731"/>
    <w:next w:val="732"/>
    <w:link w:val="77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3">
    <w:name w:val="Основной шрифт абзаца"/>
    <w:next w:val="733"/>
    <w:link w:val="731"/>
    <w:semiHidden/>
  </w:style>
  <w:style w:type="table" w:styleId="734">
    <w:name w:val="Обычная таблица"/>
    <w:next w:val="734"/>
    <w:link w:val="731"/>
    <w:semiHidden/>
    <w:tblPr/>
  </w:style>
  <w:style w:type="numbering" w:styleId="735">
    <w:name w:val="Нет списка"/>
    <w:next w:val="735"/>
    <w:link w:val="731"/>
    <w:semiHidden/>
  </w:style>
  <w:style w:type="table" w:styleId="736">
    <w:name w:val="Сетка таблицы"/>
    <w:basedOn w:val="734"/>
    <w:next w:val="736"/>
    <w:link w:val="731"/>
    <w:tblPr/>
  </w:style>
  <w:style w:type="paragraph" w:styleId="737">
    <w:name w:val="Основной текст с отступом 2"/>
    <w:basedOn w:val="731"/>
    <w:next w:val="737"/>
    <w:link w:val="731"/>
    <w:pPr>
      <w:ind w:left="283"/>
      <w:spacing w:after="120" w:line="480" w:lineRule="auto"/>
    </w:pPr>
  </w:style>
  <w:style w:type="paragraph" w:styleId="738">
    <w:name w:val="Верхний колонтитул"/>
    <w:basedOn w:val="731"/>
    <w:next w:val="738"/>
    <w:link w:val="731"/>
    <w:pPr>
      <w:tabs>
        <w:tab w:val="center" w:pos="4677" w:leader="none"/>
        <w:tab w:val="right" w:pos="9355" w:leader="none"/>
      </w:tabs>
    </w:pPr>
  </w:style>
  <w:style w:type="character" w:styleId="739">
    <w:name w:val="Номер страницы"/>
    <w:basedOn w:val="733"/>
    <w:next w:val="739"/>
    <w:link w:val="731"/>
  </w:style>
  <w:style w:type="paragraph" w:styleId="740">
    <w:name w:val="Текст выноски"/>
    <w:basedOn w:val="731"/>
    <w:next w:val="740"/>
    <w:link w:val="731"/>
    <w:semiHidden/>
    <w:rPr>
      <w:rFonts w:ascii="Tahoma" w:hAnsi="Tahoma"/>
      <w:sz w:val="16"/>
      <w:szCs w:val="16"/>
    </w:rPr>
  </w:style>
  <w:style w:type="paragraph" w:styleId="741">
    <w:name w:val="Основной текст"/>
    <w:basedOn w:val="731"/>
    <w:next w:val="741"/>
    <w:link w:val="766"/>
    <w:pPr>
      <w:spacing w:after="120"/>
    </w:pPr>
  </w:style>
  <w:style w:type="paragraph" w:styleId="742">
    <w:name w:val="Обычный (веб)"/>
    <w:basedOn w:val="731"/>
    <w:next w:val="742"/>
    <w:link w:val="7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3">
    <w:name w:val="Основной текст с отступом Знак"/>
    <w:next w:val="743"/>
    <w:link w:val="744"/>
    <w:rPr>
      <w:sz w:val="24"/>
      <w:szCs w:val="24"/>
      <w:lang w:val="ru-RU" w:bidi="ar-SA" w:eastAsia="ru-RU"/>
    </w:rPr>
  </w:style>
  <w:style w:type="paragraph" w:styleId="744">
    <w:name w:val="Основной текст с отступом"/>
    <w:basedOn w:val="731"/>
    <w:next w:val="744"/>
    <w:link w:val="743"/>
    <w:pPr>
      <w:ind w:left="283"/>
      <w:spacing w:after="120"/>
    </w:pPr>
    <w:rPr>
      <w:sz w:val="24"/>
      <w:szCs w:val="24"/>
    </w:rPr>
  </w:style>
  <w:style w:type="paragraph" w:styleId="745">
    <w:name w:val="List Paragraph"/>
    <w:basedOn w:val="731"/>
    <w:next w:val="745"/>
    <w:link w:val="731"/>
    <w:pPr>
      <w:contextualSpacing/>
      <w:ind w:left="720"/>
    </w:pPr>
    <w:rPr>
      <w:rFonts w:eastAsia="Calibri"/>
      <w:sz w:val="24"/>
      <w:szCs w:val="24"/>
    </w:rPr>
  </w:style>
  <w:style w:type="paragraph" w:styleId="746">
    <w:name w:val="ConsPlusNormal"/>
    <w:next w:val="746"/>
    <w:link w:val="750"/>
    <w:pPr>
      <w:widowControl w:val="off"/>
    </w:pPr>
    <w:rPr>
      <w:rFonts w:ascii="Arial" w:hAnsi="Arial"/>
      <w:lang w:val="ru-RU" w:bidi="ar-SA" w:eastAsia="ru-RU"/>
    </w:rPr>
  </w:style>
  <w:style w:type="paragraph" w:styleId="747">
    <w:name w:val="Нижний колонтитул"/>
    <w:basedOn w:val="731"/>
    <w:next w:val="747"/>
    <w:link w:val="731"/>
    <w:pPr>
      <w:tabs>
        <w:tab w:val="center" w:pos="4677" w:leader="none"/>
        <w:tab w:val="right" w:pos="9355" w:leader="none"/>
      </w:tabs>
    </w:pPr>
  </w:style>
  <w:style w:type="character" w:styleId="748">
    <w:name w:val="Гиперссылка"/>
    <w:next w:val="748"/>
    <w:link w:val="731"/>
    <w:rPr>
      <w:color w:val="0000FF"/>
      <w:u w:val="single"/>
    </w:rPr>
  </w:style>
  <w:style w:type="character" w:styleId="749">
    <w:name w:val="Строгий"/>
    <w:next w:val="749"/>
    <w:link w:val="731"/>
    <w:rPr>
      <w:b/>
      <w:bCs/>
    </w:rPr>
  </w:style>
  <w:style w:type="character" w:styleId="750">
    <w:name w:val="ConsPlusNormal Знак"/>
    <w:next w:val="750"/>
    <w:link w:val="746"/>
    <w:rPr>
      <w:rFonts w:ascii="Arial" w:hAnsi="Arial"/>
      <w:lang w:val="ru-RU" w:bidi="ar-SA" w:eastAsia="ru-RU"/>
    </w:rPr>
  </w:style>
  <w:style w:type="paragraph" w:styleId="751">
    <w:name w:val="ConsPlusTitle"/>
    <w:next w:val="751"/>
    <w:link w:val="73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2">
    <w:name w:val="Основной текст 2"/>
    <w:basedOn w:val="731"/>
    <w:next w:val="752"/>
    <w:link w:val="753"/>
    <w:pPr>
      <w:spacing w:after="120" w:line="480" w:lineRule="auto"/>
    </w:pPr>
    <w:rPr>
      <w:rFonts w:eastAsia="Calibri"/>
      <w:sz w:val="24"/>
      <w:szCs w:val="24"/>
    </w:rPr>
  </w:style>
  <w:style w:type="character" w:styleId="753">
    <w:name w:val="Основной текст 2 Знак"/>
    <w:next w:val="753"/>
    <w:link w:val="752"/>
    <w:rPr>
      <w:rFonts w:eastAsia="Calibri"/>
      <w:sz w:val="24"/>
      <w:szCs w:val="24"/>
      <w:lang w:val="ru-RU" w:bidi="ar-SA" w:eastAsia="ru-RU"/>
    </w:rPr>
  </w:style>
  <w:style w:type="paragraph" w:styleId="754">
    <w:name w:val="Абзац списка"/>
    <w:basedOn w:val="731"/>
    <w:next w:val="754"/>
    <w:link w:val="731"/>
    <w:pPr>
      <w:contextualSpacing/>
      <w:ind w:left="720"/>
    </w:pPr>
    <w:rPr>
      <w:sz w:val="24"/>
      <w:szCs w:val="24"/>
    </w:rPr>
  </w:style>
  <w:style w:type="paragraph" w:styleId="755">
    <w:name w:val="western"/>
    <w:basedOn w:val="731"/>
    <w:next w:val="755"/>
    <w:link w:val="73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6">
    <w:name w:val="Основной текст с отступом 21"/>
    <w:basedOn w:val="731"/>
    <w:next w:val="756"/>
    <w:link w:val="731"/>
    <w:pPr>
      <w:ind w:left="720" w:hanging="851"/>
      <w:jc w:val="both"/>
    </w:pPr>
    <w:rPr>
      <w:sz w:val="28"/>
      <w:lang w:eastAsia="ar-SA"/>
    </w:rPr>
  </w:style>
  <w:style w:type="character" w:styleId="757">
    <w:name w:val="Body text_"/>
    <w:next w:val="757"/>
    <w:link w:val="758"/>
    <w:rPr>
      <w:sz w:val="25"/>
      <w:szCs w:val="25"/>
      <w:lang w:bidi="ar-SA"/>
    </w:rPr>
  </w:style>
  <w:style w:type="paragraph" w:styleId="758">
    <w:name w:val="Body text"/>
    <w:basedOn w:val="731"/>
    <w:next w:val="758"/>
    <w:link w:val="757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9">
    <w:name w:val="Название"/>
    <w:basedOn w:val="731"/>
    <w:next w:val="759"/>
    <w:link w:val="763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60">
    <w:name w:val="Font Style11"/>
    <w:next w:val="760"/>
    <w:link w:val="731"/>
    <w:rPr>
      <w:rFonts w:ascii="Times New Roman" w:hAnsi="Times New Roman"/>
      <w:sz w:val="24"/>
      <w:szCs w:val="24"/>
    </w:rPr>
  </w:style>
  <w:style w:type="paragraph" w:styleId="761">
    <w:name w:val="Основной текст 3"/>
    <w:basedOn w:val="731"/>
    <w:next w:val="761"/>
    <w:link w:val="731"/>
    <w:pPr>
      <w:spacing w:after="120"/>
    </w:pPr>
    <w:rPr>
      <w:sz w:val="16"/>
      <w:szCs w:val="16"/>
    </w:rPr>
  </w:style>
  <w:style w:type="paragraph" w:styleId="762">
    <w:name w:val="ConsPlusNonformat"/>
    <w:next w:val="762"/>
    <w:link w:val="73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3">
    <w:name w:val="Название Знак"/>
    <w:next w:val="763"/>
    <w:link w:val="759"/>
    <w:rPr>
      <w:b/>
      <w:bCs/>
      <w:sz w:val="40"/>
    </w:rPr>
  </w:style>
  <w:style w:type="character" w:styleId="764">
    <w:name w:val="Основной текст_"/>
    <w:next w:val="764"/>
    <w:link w:val="765"/>
    <w:rPr>
      <w:shd w:val="clear" w:color="auto" w:fill="ffffff"/>
    </w:rPr>
  </w:style>
  <w:style w:type="paragraph" w:styleId="765">
    <w:name w:val="Основной текст1"/>
    <w:basedOn w:val="731"/>
    <w:next w:val="765"/>
    <w:link w:val="764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6">
    <w:name w:val="Основной текст Знак"/>
    <w:next w:val="766"/>
    <w:link w:val="741"/>
  </w:style>
  <w:style w:type="paragraph" w:styleId="769">
    <w:name w:val="UserStyle_17"/>
    <w:basedOn w:val="731"/>
    <w:next w:val="759"/>
    <w:link w:val="73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70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31"/>
    <w:next w:val="770"/>
    <w:link w:val="731"/>
    <w:pPr>
      <w:spacing w:before="100" w:beforeAutospacing="1" w:after="100" w:afterAutospacing="1"/>
    </w:pPr>
    <w:rPr>
      <w:sz w:val="24"/>
      <w:szCs w:val="24"/>
    </w:rPr>
  </w:style>
  <w:style w:type="character" w:styleId="771">
    <w:name w:val="fontstyle01"/>
    <w:basedOn w:val="733"/>
    <w:next w:val="771"/>
    <w:link w:val="73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2">
    <w:name w:val="Основной текст 21"/>
    <w:basedOn w:val="731"/>
    <w:next w:val="772"/>
    <w:link w:val="73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3">
    <w:name w:val="Основной текст (4)"/>
    <w:next w:val="773"/>
    <w:link w:val="731"/>
    <w:rPr>
      <w:b/>
      <w:bCs/>
      <w:sz w:val="26"/>
      <w:szCs w:val="26"/>
      <w:lang w:bidi="ar-SA"/>
    </w:rPr>
  </w:style>
  <w:style w:type="character" w:styleId="774">
    <w:name w:val="Основной текст (2)_"/>
    <w:basedOn w:val="733"/>
    <w:next w:val="774"/>
    <w:link w:val="775"/>
    <w:rPr>
      <w:b/>
      <w:bCs/>
      <w:sz w:val="25"/>
      <w:szCs w:val="25"/>
      <w:shd w:val="clear" w:color="auto" w:fill="ffffff"/>
    </w:rPr>
  </w:style>
  <w:style w:type="paragraph" w:styleId="775">
    <w:name w:val="Основной текст (2)"/>
    <w:basedOn w:val="731"/>
    <w:next w:val="775"/>
    <w:link w:val="774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6">
    <w:name w:val="Обычный + По ширине"/>
    <w:basedOn w:val="731"/>
    <w:next w:val="776"/>
    <w:link w:val="731"/>
    <w:pPr>
      <w:jc w:val="both"/>
    </w:pPr>
    <w:rPr>
      <w:sz w:val="28"/>
      <w:szCs w:val="24"/>
    </w:rPr>
  </w:style>
  <w:style w:type="character" w:styleId="777">
    <w:name w:val="Заголовок 1 Знак"/>
    <w:basedOn w:val="733"/>
    <w:next w:val="777"/>
    <w:link w:val="732"/>
    <w:rPr>
      <w:b/>
      <w:bCs/>
      <w:sz w:val="48"/>
      <w:szCs w:val="48"/>
    </w:rPr>
  </w:style>
  <w:style w:type="paragraph" w:styleId="778">
    <w:name w:val="Default"/>
    <w:next w:val="778"/>
    <w:link w:val="731"/>
    <w:rPr>
      <w:color w:val="000000"/>
      <w:sz w:val="24"/>
      <w:szCs w:val="24"/>
      <w:lang w:val="ru-RU" w:bidi="ar-SA" w:eastAsia="ru-RU"/>
    </w:rPr>
  </w:style>
  <w:style w:type="character" w:styleId="1021" w:default="1">
    <w:name w:val="Default Paragraph Font"/>
    <w:uiPriority w:val="1"/>
    <w:semiHidden/>
    <w:unhideWhenUsed/>
  </w:style>
  <w:style w:type="numbering" w:styleId="1022" w:default="1">
    <w:name w:val="No List"/>
    <w:uiPriority w:val="99"/>
    <w:semiHidden/>
    <w:unhideWhenUsed/>
  </w:style>
  <w:style w:type="table" w:styleId="10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2022-09-15T08:33:07Z</dcterms:modified>
</cp:coreProperties>
</file>