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61479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3"/>
        <w:jc w:val="both"/>
        <w:rPr>
          <w:sz w:val="22"/>
        </w:rPr>
      </w:pPr>
      <w:r>
        <w:rPr>
          <w:b/>
          <w:sz w:val="22"/>
          <w:szCs w:val="18"/>
        </w:rPr>
        <w:t xml:space="preserve">«__25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_октября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__734__</w:t>
      </w:r>
      <w:r>
        <w:rPr>
          <w:sz w:val="22"/>
        </w:rPr>
      </w:r>
      <w:r/>
    </w:p>
    <w:p>
      <w:pPr>
        <w:pStyle w:val="943"/>
        <w:jc w:val="center"/>
      </w:pPr>
      <w:r>
        <w:rPr>
          <w:b/>
        </w:rPr>
      </w:r>
      <w:r>
        <w:rPr>
          <w:b/>
        </w:rPr>
      </w:r>
      <w:r/>
    </w:p>
    <w:p>
      <w:pPr>
        <w:pStyle w:val="95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6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  <w:br/>
              <w:t xml:space="preserve">от 17 марта 2020 года № 190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9"/>
        <w:ind w:firstLine="720"/>
        <w:jc w:val="both"/>
        <w:tabs>
          <w:tab w:val="left" w:pos="1080" w:leader="none"/>
        </w:tabs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дополнительным соглашением от 12 октября 2022 года № 3 к трехстороннему соглашению между координационным советом профсоюзов, работодателями и администрацией Грайворонского городского округа на 2020 – 2022 годы  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постановля</w:t>
      </w:r>
      <w:r>
        <w:rPr>
          <w:rFonts w:ascii="Times New Roman" w:hAnsi="Times New Roman"/>
          <w:b/>
          <w:sz w:val="28"/>
          <w:szCs w:val="28"/>
        </w:rPr>
        <w:t xml:space="preserve">ю: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/>
    </w:p>
    <w:p>
      <w:pPr>
        <w:pStyle w:val="95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  <w:tab/>
        <w:t xml:space="preserve">Внести следующие из</w:t>
      </w:r>
      <w:r>
        <w:rPr>
          <w:rFonts w:ascii="Times New Roman" w:hAnsi="Times New Roman"/>
          <w:sz w:val="28"/>
          <w:szCs w:val="28"/>
        </w:rPr>
        <w:t xml:space="preserve">менения в постановление администрации Грайворонского городского округа от 17 марта 2020 года № 190 </w:t>
        <w:br/>
        <w:t xml:space="preserve">«О трехстороннем соглашении между объединением организаций профсоюзов, работодателями и администрацией Грайворонского городского округа </w:t>
        <w:br/>
        <w:t xml:space="preserve">на 2020-2022 годы»:</w:t>
      </w:r>
      <w:r/>
    </w:p>
    <w:p>
      <w:pPr>
        <w:pStyle w:val="95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трехстороннее соглашение между координационным советом организаций профсоюзов, работодателями и администрацией Грайворонского городского округа на 2020-2022 годы, указанное в пункте 1 вышеназванного постановления (далее - Соглашение):</w:t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дополнить пункт 3.1.9 </w:t>
      </w:r>
      <w:r>
        <w:rPr>
          <w:color w:val="000000"/>
          <w:sz w:val="28"/>
          <w:szCs w:val="28"/>
        </w:rPr>
        <w:t xml:space="preserve">подраздела 3.1 статьи</w:t>
      </w:r>
      <w:r>
        <w:rPr>
          <w:color w:val="000000"/>
          <w:sz w:val="28"/>
          <w:szCs w:val="28"/>
        </w:rPr>
        <w:t xml:space="preserve"> 3 Соглашения четвертым </w:t>
      </w:r>
      <w:r>
        <w:rPr>
          <w:color w:val="000000"/>
          <w:sz w:val="28"/>
          <w:szCs w:val="28"/>
        </w:rPr>
        <w:br/>
        <w:t xml:space="preserve">и пятым </w:t>
      </w:r>
      <w:r>
        <w:rPr>
          <w:color w:val="000000"/>
          <w:sz w:val="28"/>
          <w:szCs w:val="28"/>
        </w:rPr>
        <w:t xml:space="preserve">абзацами следующего содержания:</w:t>
      </w:r>
      <w:r>
        <w:rPr>
          <w:color w:val="000000"/>
        </w:rPr>
      </w:r>
      <w:r/>
    </w:p>
    <w:p>
      <w:pPr>
        <w:pStyle w:val="943"/>
        <w:ind w:firstLine="720"/>
        <w:jc w:val="both"/>
      </w:pPr>
      <w:r>
        <w:rPr>
          <w:color w:val="000000"/>
          <w:sz w:val="28"/>
          <w:szCs w:val="28"/>
        </w:rPr>
        <w:t xml:space="preserve">«- за приостановлением действия трудовых договоров и служебных контрактов, заключенных с работниками, </w:t>
      </w:r>
      <w:r>
        <w:rPr>
          <w:sz w:val="28"/>
          <w:szCs w:val="28"/>
        </w:rPr>
        <w:t xml:space="preserve">принимающими участие                                  в специальной военной операции на территории Украины посредством прохождения военной службы в Вооруженных силах Российской</w:t>
      </w:r>
      <w:r>
        <w:rPr>
          <w:sz w:val="28"/>
          <w:szCs w:val="28"/>
        </w:rPr>
        <w:t xml:space="preserve"> Федерации                     по контракту, по призыву по мобилизации или заключения контракта                           о добровольном содействии в выполнении задач, возложенных                                    на Вооруженные силы Российской Федерации;</w:t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за выполнением обязательств работодателей, предусмотренных пунктом 3.2.14 Соглашения.»; </w:t>
      </w:r>
      <w:r>
        <w:rPr>
          <w:color w:val="000000"/>
        </w:rPr>
      </w:r>
      <w:r/>
    </w:p>
    <w:p>
      <w:pPr>
        <w:pStyle w:val="992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подраздел 3.1 статьи 3 Соглашения дополнить пунктом </w:t>
        <w:br/>
        <w:t xml:space="preserve">3.1.12 следующего содержания:</w:t>
      </w:r>
      <w:r>
        <w:rPr>
          <w:rFonts w:ascii="Times New Roman" w:hAnsi="Times New Roman"/>
          <w:color w:val="000000"/>
        </w:rPr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«3.1.12. Содействует включению в коллективные договоры предприятий </w:t>
        <w:br/>
        <w:t xml:space="preserve">и организаций Грайворонского городского округа гарантий для работников, </w:t>
      </w:r>
      <w:r>
        <w:rPr>
          <w:sz w:val="28"/>
          <w:szCs w:val="28"/>
        </w:rPr>
        <w:t xml:space="preserve">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призыву, по мобилизации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заключения контракта о добровольном содействии в выполнении задач, возложенных на Вооруженные силы Российской Федерации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</w:rPr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по обеспечению сохранения уровня доходов работников                                       </w:t>
      </w:r>
      <w:r>
        <w:rPr>
          <w:sz w:val="28"/>
          <w:szCs w:val="28"/>
        </w:rPr>
        <w:t xml:space="preserve">и осуществления выплаты в размере средней заработной платы работникам               </w:t>
      </w:r>
      <w:r>
        <w:rPr>
          <w:color w:val="000000"/>
          <w:sz w:val="28"/>
          <w:szCs w:val="28"/>
        </w:rPr>
        <w:t xml:space="preserve">на период прохождения военной службы</w:t>
      </w:r>
      <w:r>
        <w:rPr>
          <w:sz w:val="28"/>
          <w:szCs w:val="28"/>
        </w:rPr>
        <w:t xml:space="preserve"> или оказания ими добровольного содействия в выполнении задач, возложенных на Вооруженные силы Российской Федерации</w:t>
      </w:r>
      <w:r>
        <w:rPr>
          <w:color w:val="000000"/>
          <w:sz w:val="28"/>
          <w:szCs w:val="28"/>
        </w:rPr>
        <w:t xml:space="preserve">.»; </w:t>
      </w:r>
      <w:r>
        <w:rPr>
          <w:color w:val="000000"/>
        </w:rPr>
      </w:r>
      <w:r/>
    </w:p>
    <w:p>
      <w:pPr>
        <w:pStyle w:val="99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пункт 3.2.14 подраздела 3.2 статьи 3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943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3.2.14. Предусматривают в коллективных договорах и соглашениях обязательства:</w:t>
      </w:r>
      <w:r/>
    </w:p>
    <w:p>
      <w:pPr>
        <w:pStyle w:val="943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проведению мероприятий, направленных на проведение профилактических медици</w:t>
      </w:r>
      <w:r>
        <w:rPr>
          <w:sz w:val="28"/>
          <w:szCs w:val="28"/>
        </w:rPr>
        <w:t xml:space="preserve">нских осмотров, профилактики сердечно-сосудистых заболеваний и оздоровления работников предприятий. Заключают соглашения с медицинскими и санаторно-курортными организациями области о проведении комплекса профилактических мероприятий работникам предприятий;</w:t>
      </w:r>
      <w:r/>
    </w:p>
    <w:p>
      <w:pPr>
        <w:pStyle w:val="943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отстранению от работы лиц, уклоняющихся от прохождения профилактических осмотров, в случаях, предусмотренных действующим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58"/>
        <w:ind w:firstLine="709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по предоставлению работникам отпуска по уходу за нетрудоспособным родителем до трех месяцев с сохранением места работы;</w:t>
      </w:r>
      <w:r/>
    </w:p>
    <w:p>
      <w:pPr>
        <w:pStyle w:val="992"/>
        <w:ind w:left="0" w:firstLine="709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по освобождению от работы в день проведения вакцинации работников</w:t>
      </w:r>
      <w:r>
        <w:rPr>
          <w:rFonts w:ascii="Times New Roman" w:hAnsi="Times New Roman"/>
          <w:sz w:val="28"/>
          <w:szCs w:val="28"/>
        </w:rPr>
        <w:t xml:space="preserve">, а также в день связанног</w:t>
      </w:r>
      <w:r>
        <w:rPr>
          <w:rFonts w:ascii="Times New Roman" w:hAnsi="Times New Roman"/>
          <w:sz w:val="28"/>
          <w:szCs w:val="28"/>
        </w:rPr>
        <w:t xml:space="preserve">о с этим медицинского осмотра;</w:t>
      </w:r>
      <w:r/>
    </w:p>
    <w:p>
      <w:pPr>
        <w:pStyle w:val="943"/>
        <w:ind w:firstLine="709"/>
        <w:jc w:val="both"/>
        <w:tabs>
          <w:tab w:val="left" w:pos="993" w:leader="none"/>
        </w:tabs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 приостановлению действия трудовых договоров и служебных контрактов, заключенных с работниками, </w:t>
      </w:r>
      <w:r>
        <w:rPr>
          <w:sz w:val="28"/>
          <w:szCs w:val="28"/>
        </w:rPr>
        <w:t xml:space="preserve">принимающими участие </w:t>
      </w:r>
      <w:r>
        <w:rPr>
          <w:sz w:val="28"/>
          <w:szCs w:val="28"/>
        </w:rPr>
        <w:t xml:space="preserve">                         в специальной военной операции на территории Украины посредством прохождения военной службы в Вооруженных силах Российской Феде</w:t>
      </w:r>
      <w:r>
        <w:rPr>
          <w:sz w:val="28"/>
          <w:szCs w:val="28"/>
        </w:rPr>
        <w:t xml:space="preserve">рации                      по контракту, по призыву по мобилизации или заключения контракта                             о добровольном содействии в выполнении задач, возложенных                                      на Вооруженные силы Российской Федерации;</w:t>
      </w:r>
      <w:r/>
    </w:p>
    <w:p>
      <w:pPr>
        <w:pStyle w:val="943"/>
        <w:ind w:firstLine="709"/>
        <w:jc w:val="both"/>
        <w:tabs>
          <w:tab w:val="left" w:pos="993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обеспечению сохранения уровня доходов работников                                  и осуществления выплаты в размере средней заработной платы работникам, принимающим участие в специальной военной операции на территории Украины посредством прохо</w:t>
      </w:r>
      <w:r>
        <w:rPr>
          <w:sz w:val="28"/>
          <w:szCs w:val="28"/>
        </w:rPr>
        <w:t xml:space="preserve">ждения военной службы в Вооруженных силах Российской Федерации по контракту, по призыву по мобилизации                             или заключения контракта о добровольном содействии в выполнении задач, возложенных на Вооруженные силы Российской Федерации, </w:t>
      </w:r>
      <w:r>
        <w:rPr>
          <w:color w:val="000000"/>
          <w:sz w:val="28"/>
          <w:szCs w:val="28"/>
        </w:rPr>
        <w:t xml:space="preserve">на период прохождения военной службы</w:t>
      </w:r>
      <w:r>
        <w:rPr>
          <w:sz w:val="28"/>
          <w:szCs w:val="28"/>
        </w:rPr>
        <w:t xml:space="preserve"> или оказания ими добровольного содействия                              в выполнении задач, возложенных на Вооруженные силы Российской Федерации</w:t>
      </w:r>
      <w:r>
        <w:rPr>
          <w:color w:val="000000"/>
          <w:sz w:val="28"/>
          <w:szCs w:val="28"/>
        </w:rPr>
        <w:t xml:space="preserve">.»; </w:t>
      </w:r>
      <w:r>
        <w:rPr>
          <w:color w:val="000000"/>
        </w:rPr>
      </w:r>
      <w:r/>
    </w:p>
    <w:p>
      <w:pPr>
        <w:pStyle w:val="992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подраздел 3.2 стат</w:t>
      </w:r>
      <w:r>
        <w:rPr>
          <w:rFonts w:ascii="Times New Roman" w:hAnsi="Times New Roman"/>
          <w:color w:val="000000"/>
          <w:sz w:val="28"/>
          <w:szCs w:val="28"/>
        </w:rPr>
        <w:t xml:space="preserve">ьи 3 Соглашения дополнить пунктами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  <w:br/>
        <w:t xml:space="preserve">3.</w:t>
      </w:r>
      <w:r>
        <w:rPr>
          <w:rFonts w:ascii="Times New Roman" w:hAnsi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.21 </w:t>
      </w:r>
      <w:r>
        <w:rPr>
          <w:rFonts w:ascii="Times New Roman" w:hAnsi="Times New Roman"/>
          <w:color w:val="000000"/>
          <w:sz w:val="28"/>
          <w:szCs w:val="28"/>
        </w:rPr>
        <w:t xml:space="preserve">и 3.2.22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</w:t>
      </w:r>
      <w:r>
        <w:rPr>
          <w:rFonts w:ascii="Times New Roman" w:hAnsi="Times New Roman"/>
          <w:color w:val="000000"/>
        </w:rPr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«3.2.21. Приостанавливают действие трудовых договоров и служебных контрактов, заключенных с работниками, </w:t>
      </w:r>
      <w:r>
        <w:rPr>
          <w:sz w:val="28"/>
          <w:szCs w:val="28"/>
        </w:rPr>
        <w:t xml:space="preserve">принимающими участие                            в специальной военной операции на территории Украины посредством прохождения военной службы в Вооруженных силах Российской Феде</w:t>
      </w:r>
      <w:r>
        <w:rPr>
          <w:sz w:val="28"/>
          <w:szCs w:val="28"/>
        </w:rPr>
        <w:t xml:space="preserve">рации        по контракту, по призыву, по мобилизации или заключения контракта                             о добровольном содействии в выполнении задач, возложенных                                     на Вооруженные силы Российской Федерации, не допускают </w:t>
      </w:r>
      <w:r>
        <w:rPr>
          <w:color w:val="000000"/>
          <w:sz w:val="28"/>
          <w:szCs w:val="28"/>
        </w:rPr>
        <w:t xml:space="preserve">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</w:t>
      </w:r>
      <w:r>
        <w:rPr>
          <w:sz w:val="28"/>
          <w:szCs w:val="28"/>
        </w:rPr>
        <w:t xml:space="preserve">первой</w:t>
      </w:r>
      <w:r>
        <w:rPr>
          <w:color w:val="000000"/>
          <w:sz w:val="28"/>
          <w:szCs w:val="28"/>
        </w:rPr>
        <w:t xml:space="preserve"> статьи 39 Федерального закона от 27 июля 2004 года № 79-ФЗ «О государственной гражданской службе Российской Федерации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</w:rPr>
      </w:r>
      <w:r/>
    </w:p>
    <w:p>
      <w:pPr>
        <w:pStyle w:val="943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«3.2.22. Обеспечивает </w:t>
      </w:r>
      <w:r>
        <w:rPr>
          <w:sz w:val="28"/>
          <w:szCs w:val="28"/>
        </w:rPr>
        <w:t xml:space="preserve">сохранение уровня доходов работников                                  и осуществления выплаты в размере средней заработной платы работникам, принимающим участие в специальной военной операции на территории Украины посредством прох</w:t>
      </w:r>
      <w:r>
        <w:rPr>
          <w:sz w:val="28"/>
          <w:szCs w:val="28"/>
        </w:rPr>
        <w:t xml:space="preserve">ождения военной службы в Вооруженных силах Российской Федерации по контракту, по призыву по мобилизации                            или заключения контракта о добровольном содействии в выполнении задач, возложенных на Вооруженные силы Российской Федерации, </w:t>
      </w:r>
      <w:r>
        <w:rPr>
          <w:color w:val="000000"/>
          <w:sz w:val="28"/>
          <w:szCs w:val="28"/>
        </w:rPr>
        <w:t xml:space="preserve">на период прохождения военной службы</w:t>
      </w:r>
      <w:r>
        <w:rPr>
          <w:sz w:val="28"/>
          <w:szCs w:val="28"/>
        </w:rPr>
        <w:t xml:space="preserve"> или оказания ими добровольного содействия                     в выполнении задач, возложенных на Вооруженные силы Российской Федерации</w:t>
      </w:r>
      <w:r>
        <w:rPr>
          <w:color w:val="000000"/>
          <w:sz w:val="28"/>
          <w:szCs w:val="28"/>
        </w:rPr>
        <w:t xml:space="preserve">.».</w:t>
      </w:r>
      <w:r>
        <w:rPr>
          <w:color w:val="000000"/>
        </w:rPr>
      </w:r>
      <w:r/>
    </w:p>
    <w:p>
      <w:pPr>
        <w:pStyle w:val="943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sz w:val="28"/>
          <w:szCs w:val="28"/>
        </w:rPr>
      </w:r>
      <w:r/>
    </w:p>
    <w:p>
      <w:pPr>
        <w:pStyle w:val="943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первого заместителя главы администрации городского округа А.А. Бляшенко.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separate"/>
    </w:r>
    <w:r>
      <w:rPr>
        <w:rStyle w:val="951"/>
      </w:rPr>
      <w:t xml:space="preserve">3</w: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3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3"/>
    <w:next w:val="943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3"/>
    <w:next w:val="943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3"/>
    <w:next w:val="9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3"/>
    <w:next w:val="943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3"/>
    <w:next w:val="943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3"/>
    <w:next w:val="943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3"/>
    <w:next w:val="943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3"/>
    <w:next w:val="943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3"/>
    <w:next w:val="943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rPr>
      <w:lang w:val="ru-RU" w:bidi="ar-SA" w:eastAsia="ru-RU"/>
    </w:rPr>
  </w:style>
  <w:style w:type="paragraph" w:styleId="944">
    <w:name w:val="Заголовок 1"/>
    <w:basedOn w:val="943"/>
    <w:next w:val="944"/>
    <w:link w:val="98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5">
    <w:name w:val="Основной шрифт абзаца"/>
    <w:next w:val="945"/>
    <w:link w:val="943"/>
    <w:semiHidden/>
  </w:style>
  <w:style w:type="table" w:styleId="946">
    <w:name w:val="Обычная таблица"/>
    <w:next w:val="946"/>
    <w:link w:val="943"/>
    <w:semiHidden/>
    <w:tblPr/>
  </w:style>
  <w:style w:type="numbering" w:styleId="947">
    <w:name w:val="Нет списка"/>
    <w:next w:val="947"/>
    <w:link w:val="943"/>
    <w:semiHidden/>
  </w:style>
  <w:style w:type="table" w:styleId="948">
    <w:name w:val="Сетка таблицы"/>
    <w:basedOn w:val="946"/>
    <w:next w:val="948"/>
    <w:link w:val="943"/>
    <w:tblPr/>
  </w:style>
  <w:style w:type="paragraph" w:styleId="949">
    <w:name w:val="Основной текст с отступом 2"/>
    <w:basedOn w:val="943"/>
    <w:next w:val="949"/>
    <w:link w:val="943"/>
    <w:pPr>
      <w:ind w:left="283"/>
      <w:spacing w:after="120" w:line="480" w:lineRule="auto"/>
    </w:pPr>
  </w:style>
  <w:style w:type="paragraph" w:styleId="950">
    <w:name w:val="Верхний колонтитул"/>
    <w:basedOn w:val="943"/>
    <w:next w:val="950"/>
    <w:link w:val="943"/>
    <w:pPr>
      <w:tabs>
        <w:tab w:val="center" w:pos="4677" w:leader="none"/>
        <w:tab w:val="right" w:pos="9355" w:leader="none"/>
      </w:tabs>
    </w:pPr>
  </w:style>
  <w:style w:type="character" w:styleId="951">
    <w:name w:val="Номер страницы"/>
    <w:basedOn w:val="945"/>
    <w:next w:val="951"/>
    <w:link w:val="943"/>
  </w:style>
  <w:style w:type="paragraph" w:styleId="952">
    <w:name w:val="Текст выноски"/>
    <w:basedOn w:val="943"/>
    <w:next w:val="952"/>
    <w:link w:val="943"/>
    <w:semiHidden/>
    <w:rPr>
      <w:rFonts w:ascii="Tahoma" w:hAnsi="Tahoma"/>
      <w:sz w:val="16"/>
      <w:szCs w:val="16"/>
    </w:rPr>
  </w:style>
  <w:style w:type="paragraph" w:styleId="953">
    <w:name w:val="Основной текст"/>
    <w:basedOn w:val="943"/>
    <w:next w:val="953"/>
    <w:link w:val="978"/>
    <w:pPr>
      <w:spacing w:after="120"/>
    </w:pPr>
  </w:style>
  <w:style w:type="paragraph" w:styleId="954">
    <w:name w:val="Обычный (веб)"/>
    <w:basedOn w:val="943"/>
    <w:next w:val="954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5">
    <w:name w:val="Основной текст с отступом Знак"/>
    <w:next w:val="955"/>
    <w:link w:val="956"/>
    <w:rPr>
      <w:sz w:val="24"/>
      <w:szCs w:val="24"/>
      <w:lang w:val="ru-RU" w:bidi="ar-SA" w:eastAsia="ru-RU"/>
    </w:rPr>
  </w:style>
  <w:style w:type="paragraph" w:styleId="956">
    <w:name w:val="Основной текст с отступом"/>
    <w:basedOn w:val="943"/>
    <w:next w:val="956"/>
    <w:link w:val="955"/>
    <w:pPr>
      <w:ind w:left="283"/>
      <w:spacing w:after="120"/>
    </w:pPr>
    <w:rPr>
      <w:sz w:val="24"/>
      <w:szCs w:val="24"/>
    </w:rPr>
  </w:style>
  <w:style w:type="paragraph" w:styleId="957">
    <w:name w:val="List Paragraph"/>
    <w:basedOn w:val="943"/>
    <w:next w:val="957"/>
    <w:link w:val="943"/>
    <w:pPr>
      <w:contextualSpacing/>
      <w:ind w:left="720"/>
    </w:pPr>
    <w:rPr>
      <w:rFonts w:eastAsia="Calibri"/>
      <w:sz w:val="24"/>
      <w:szCs w:val="24"/>
    </w:rPr>
  </w:style>
  <w:style w:type="paragraph" w:styleId="958">
    <w:name w:val="ConsPlusNormal"/>
    <w:next w:val="958"/>
    <w:link w:val="962"/>
    <w:pPr>
      <w:widowControl w:val="off"/>
    </w:pPr>
    <w:rPr>
      <w:rFonts w:ascii="Arial" w:hAnsi="Arial"/>
      <w:lang w:val="ru-RU" w:bidi="ar-SA" w:eastAsia="ru-RU"/>
    </w:rPr>
  </w:style>
  <w:style w:type="paragraph" w:styleId="959">
    <w:name w:val="Нижний колонтитул"/>
    <w:basedOn w:val="943"/>
    <w:next w:val="959"/>
    <w:link w:val="943"/>
    <w:pPr>
      <w:tabs>
        <w:tab w:val="center" w:pos="4677" w:leader="none"/>
        <w:tab w:val="right" w:pos="9355" w:leader="none"/>
      </w:tabs>
    </w:pPr>
  </w:style>
  <w:style w:type="character" w:styleId="960">
    <w:name w:val="Гиперссылка"/>
    <w:next w:val="960"/>
    <w:link w:val="943"/>
    <w:rPr>
      <w:color w:val="0000FF"/>
      <w:u w:val="single"/>
    </w:rPr>
  </w:style>
  <w:style w:type="character" w:styleId="961">
    <w:name w:val="Строгий"/>
    <w:next w:val="961"/>
    <w:link w:val="943"/>
    <w:rPr>
      <w:b/>
      <w:bCs/>
    </w:rPr>
  </w:style>
  <w:style w:type="character" w:styleId="962">
    <w:name w:val="ConsPlusNormal Знак"/>
    <w:next w:val="962"/>
    <w:link w:val="958"/>
    <w:rPr>
      <w:rFonts w:ascii="Arial" w:hAnsi="Arial"/>
      <w:lang w:val="ru-RU" w:bidi="ar-SA" w:eastAsia="ru-RU"/>
    </w:rPr>
  </w:style>
  <w:style w:type="paragraph" w:styleId="963">
    <w:name w:val="ConsPlusTitle"/>
    <w:next w:val="963"/>
    <w:link w:val="94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4">
    <w:name w:val="Основной текст 2"/>
    <w:basedOn w:val="943"/>
    <w:next w:val="964"/>
    <w:link w:val="965"/>
    <w:pPr>
      <w:spacing w:after="120" w:line="480" w:lineRule="auto"/>
    </w:pPr>
    <w:rPr>
      <w:rFonts w:eastAsia="Calibri"/>
      <w:sz w:val="24"/>
      <w:szCs w:val="24"/>
    </w:rPr>
  </w:style>
  <w:style w:type="character" w:styleId="965">
    <w:name w:val="Основной текст 2 Знак"/>
    <w:next w:val="965"/>
    <w:link w:val="964"/>
    <w:rPr>
      <w:rFonts w:eastAsia="Calibri"/>
      <w:sz w:val="24"/>
      <w:szCs w:val="24"/>
      <w:lang w:val="ru-RU" w:bidi="ar-SA" w:eastAsia="ru-RU"/>
    </w:rPr>
  </w:style>
  <w:style w:type="paragraph" w:styleId="966">
    <w:name w:val="Абзац списка"/>
    <w:basedOn w:val="943"/>
    <w:next w:val="966"/>
    <w:link w:val="943"/>
    <w:pPr>
      <w:contextualSpacing/>
      <w:ind w:left="720"/>
    </w:pPr>
    <w:rPr>
      <w:sz w:val="24"/>
      <w:szCs w:val="24"/>
    </w:rPr>
  </w:style>
  <w:style w:type="paragraph" w:styleId="967">
    <w:name w:val="western"/>
    <w:basedOn w:val="943"/>
    <w:next w:val="967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8">
    <w:name w:val="Основной текст с отступом 21"/>
    <w:basedOn w:val="943"/>
    <w:next w:val="968"/>
    <w:link w:val="943"/>
    <w:pPr>
      <w:ind w:left="720" w:hanging="851"/>
      <w:jc w:val="both"/>
    </w:pPr>
    <w:rPr>
      <w:sz w:val="28"/>
      <w:lang w:eastAsia="ar-SA"/>
    </w:rPr>
  </w:style>
  <w:style w:type="character" w:styleId="969">
    <w:name w:val="Body text_"/>
    <w:next w:val="969"/>
    <w:link w:val="970"/>
    <w:rPr>
      <w:sz w:val="25"/>
      <w:szCs w:val="25"/>
      <w:lang w:bidi="ar-SA"/>
    </w:rPr>
  </w:style>
  <w:style w:type="paragraph" w:styleId="970">
    <w:name w:val="Body text"/>
    <w:basedOn w:val="943"/>
    <w:next w:val="970"/>
    <w:link w:val="96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1">
    <w:name w:val="Название"/>
    <w:basedOn w:val="943"/>
    <w:next w:val="971"/>
    <w:link w:val="97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2">
    <w:name w:val="Font Style11"/>
    <w:next w:val="972"/>
    <w:link w:val="943"/>
    <w:rPr>
      <w:rFonts w:ascii="Times New Roman" w:hAnsi="Times New Roman"/>
      <w:sz w:val="24"/>
      <w:szCs w:val="24"/>
    </w:rPr>
  </w:style>
  <w:style w:type="paragraph" w:styleId="973">
    <w:name w:val="Основной текст 3"/>
    <w:basedOn w:val="943"/>
    <w:next w:val="973"/>
    <w:link w:val="943"/>
    <w:pPr>
      <w:spacing w:after="120"/>
    </w:pPr>
    <w:rPr>
      <w:sz w:val="16"/>
      <w:szCs w:val="16"/>
    </w:rPr>
  </w:style>
  <w:style w:type="paragraph" w:styleId="974">
    <w:name w:val="ConsPlusNonformat"/>
    <w:next w:val="974"/>
    <w:link w:val="94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5">
    <w:name w:val="Название Знак"/>
    <w:next w:val="975"/>
    <w:link w:val="971"/>
    <w:rPr>
      <w:b/>
      <w:bCs/>
      <w:sz w:val="40"/>
    </w:rPr>
  </w:style>
  <w:style w:type="character" w:styleId="976">
    <w:name w:val="Основной текст_"/>
    <w:next w:val="976"/>
    <w:link w:val="977"/>
    <w:rPr>
      <w:shd w:val="clear" w:color="auto" w:fill="ffffff"/>
    </w:rPr>
  </w:style>
  <w:style w:type="paragraph" w:styleId="977">
    <w:name w:val="Основной текст1"/>
    <w:basedOn w:val="943"/>
    <w:next w:val="977"/>
    <w:link w:val="97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8">
    <w:name w:val="Основной текст Знак"/>
    <w:next w:val="978"/>
    <w:link w:val="953"/>
  </w:style>
  <w:style w:type="paragraph" w:styleId="979">
    <w:name w:val="UserStyle_17"/>
    <w:basedOn w:val="943"/>
    <w:next w:val="971"/>
    <w:link w:val="94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3"/>
    <w:next w:val="980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1">
    <w:name w:val="fontstyle01"/>
    <w:basedOn w:val="945"/>
    <w:next w:val="981"/>
    <w:link w:val="94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2">
    <w:name w:val="Основной текст 21"/>
    <w:basedOn w:val="943"/>
    <w:next w:val="982"/>
    <w:link w:val="94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3">
    <w:name w:val="Основной текст (4)"/>
    <w:next w:val="983"/>
    <w:link w:val="943"/>
    <w:rPr>
      <w:b/>
      <w:bCs/>
      <w:sz w:val="26"/>
      <w:szCs w:val="26"/>
      <w:lang w:bidi="ar-SA"/>
    </w:rPr>
  </w:style>
  <w:style w:type="character" w:styleId="984">
    <w:name w:val="Основной текст (2)_"/>
    <w:basedOn w:val="945"/>
    <w:next w:val="984"/>
    <w:link w:val="985"/>
    <w:rPr>
      <w:b/>
      <w:bCs/>
      <w:sz w:val="25"/>
      <w:szCs w:val="25"/>
      <w:shd w:val="clear" w:color="auto" w:fill="ffffff"/>
    </w:rPr>
  </w:style>
  <w:style w:type="paragraph" w:styleId="985">
    <w:name w:val="Основной текст (2)"/>
    <w:basedOn w:val="943"/>
    <w:next w:val="985"/>
    <w:link w:val="98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6">
    <w:name w:val="Обычный + По ширине"/>
    <w:basedOn w:val="943"/>
    <w:next w:val="986"/>
    <w:link w:val="943"/>
    <w:pPr>
      <w:jc w:val="both"/>
    </w:pPr>
    <w:rPr>
      <w:sz w:val="28"/>
      <w:szCs w:val="24"/>
    </w:rPr>
  </w:style>
  <w:style w:type="character" w:styleId="987">
    <w:name w:val="Заголовок 1 Знак"/>
    <w:basedOn w:val="945"/>
    <w:next w:val="987"/>
    <w:link w:val="944"/>
    <w:rPr>
      <w:b/>
      <w:bCs/>
      <w:sz w:val="48"/>
      <w:szCs w:val="48"/>
    </w:rPr>
  </w:style>
  <w:style w:type="character" w:styleId="98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45"/>
    <w:next w:val="988"/>
    <w:link w:val="943"/>
  </w:style>
  <w:style w:type="paragraph" w:styleId="989">
    <w:name w:val="Без интервала"/>
    <w:next w:val="989"/>
    <w:link w:val="943"/>
    <w:rPr>
      <w:rFonts w:ascii="Calibri" w:hAnsi="Calibri" w:eastAsia="Calibri"/>
      <w:sz w:val="22"/>
      <w:szCs w:val="22"/>
      <w:lang w:val="ru-RU" w:bidi="ar-SA" w:eastAsia="en-US"/>
    </w:rPr>
  </w:style>
  <w:style w:type="character" w:styleId="990">
    <w:name w:val="Подпись к таблице_"/>
    <w:basedOn w:val="945"/>
    <w:next w:val="990"/>
    <w:link w:val="991"/>
    <w:rPr>
      <w:sz w:val="26"/>
      <w:szCs w:val="26"/>
      <w:shd w:val="clear" w:color="auto" w:fill="ffffff"/>
    </w:rPr>
  </w:style>
  <w:style w:type="paragraph" w:styleId="991">
    <w:name w:val="Подпись к таблице"/>
    <w:basedOn w:val="943"/>
    <w:next w:val="991"/>
    <w:link w:val="990"/>
    <w:pPr>
      <w:spacing w:line="322" w:lineRule="exact"/>
      <w:shd w:val="clear" w:color="auto" w:fill="ffffff"/>
    </w:pPr>
    <w:rPr>
      <w:sz w:val="26"/>
      <w:szCs w:val="26"/>
    </w:rPr>
  </w:style>
  <w:style w:type="paragraph" w:styleId="992">
    <w:name w:val="Абзац списка1"/>
    <w:next w:val="992"/>
    <w:link w:val="943"/>
    <w:pPr>
      <w:contextualSpacing/>
      <w:ind w:left="720" w:firstLine="720"/>
      <w:jc w:val="both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4"/>
      <w:szCs w:val="24"/>
      <w:lang w:val="ru-RU" w:bidi="ar-SA" w:eastAsia="ru-RU"/>
    </w:rPr>
  </w:style>
  <w:style w:type="character" w:styleId="993" w:default="1">
    <w:name w:val="Default Paragraph Font"/>
    <w:uiPriority w:val="1"/>
    <w:semiHidden/>
    <w:unhideWhenUsed/>
  </w:style>
  <w:style w:type="numbering" w:styleId="994" w:default="1">
    <w:name w:val="No List"/>
    <w:uiPriority w:val="99"/>
    <w:semiHidden/>
    <w:unhideWhenUsed/>
  </w:style>
  <w:style w:type="table" w:styleId="9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2022-10-25T12:53:13Z</dcterms:modified>
</cp:coreProperties>
</file>