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26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Об утверждении бюджетного прогноза Грайворонского городского округа </w:t>
            </w:r>
            <w:r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 xml:space="preserve">на долгосрочный период до 202</w:t>
            </w:r>
            <w:r>
              <w:rPr>
                <w:b/>
                <w:szCs w:val="28"/>
              </w:rPr>
              <w:t xml:space="preserve">7</w:t>
            </w:r>
            <w:r>
              <w:rPr>
                <w:b/>
                <w:szCs w:val="28"/>
              </w:rPr>
              <w:t xml:space="preserve"> года</w:t>
            </w:r>
            <w:r>
              <w:rPr>
                <w:b/>
              </w:rPr>
            </w:r>
          </w:p>
        </w:tc>
      </w:tr>
    </w:tbl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Грайворонского г</w:t>
      </w:r>
      <w:r>
        <w:rPr>
          <w:sz w:val="28"/>
          <w:szCs w:val="28"/>
        </w:rPr>
        <w:t xml:space="preserve">ородского округа от 25 февраля </w:t>
      </w:r>
      <w:r>
        <w:rPr>
          <w:sz w:val="28"/>
          <w:szCs w:val="28"/>
        </w:rPr>
        <w:t xml:space="preserve">2019 года №122 «Об утверждении Порядка разработки и утверждения бюджетного прогноза Грайворонского городского округа», в целях осуществления долгосрочного бюджетного планирования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Грайворонском городском округе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z w:val="28"/>
          <w:szCs w:val="28"/>
        </w:rPr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бюджетный прогноз Грайворонского городского округа                      на долгосрочный период до 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года (прилагается).</w:t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Гр</w:t>
      </w:r>
      <w:r>
        <w:rPr>
          <w:sz w:val="28"/>
          <w:szCs w:val="28"/>
        </w:rPr>
        <w:t xml:space="preserve">айворонского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апреля 2021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бюджетного прогноза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долгосрочный период до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</w:rPr>
        <w:t xml:space="preserve">Контроль за исполнен</w:t>
      </w:r>
      <w:r>
        <w:rPr>
          <w:sz w:val="28"/>
        </w:rPr>
        <w:t xml:space="preserve">ием постановления возложить на комитет</w:t>
      </w:r>
      <w:r>
        <w:rPr>
          <w:sz w:val="28"/>
        </w:rPr>
        <w:t xml:space="preserve"> финансов и налоговой политики</w:t>
      </w:r>
      <w:r>
        <w:rPr>
          <w:sz w:val="28"/>
        </w:rPr>
        <w:t xml:space="preserve"> администрации Грайворонского городского округа </w:t>
      </w:r>
      <w:r>
        <w:rPr>
          <w:sz w:val="28"/>
        </w:rPr>
        <w:t xml:space="preserve">(</w:t>
      </w:r>
      <w:r>
        <w:rPr>
          <w:sz w:val="28"/>
        </w:rPr>
        <w:t xml:space="preserve">Ягич</w:t>
      </w:r>
      <w:r>
        <w:rPr>
          <w:sz w:val="28"/>
        </w:rPr>
        <w:t xml:space="preserve"> </w:t>
      </w:r>
      <w:r>
        <w:rPr>
          <w:sz w:val="28"/>
        </w:rPr>
        <w:t xml:space="preserve">И.Н.</w:t>
      </w:r>
      <w:r>
        <w:rPr>
          <w:sz w:val="28"/>
        </w:rPr>
        <w:t xml:space="preserve">).</w:t>
      </w:r>
      <w:r>
        <w:rPr>
          <w:sz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67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t xml:space="preserve">Приложение</w:t>
      </w:r>
    </w:p>
    <w:p>
      <w:pPr>
        <w:pStyle w:val="Normal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УТВЕРЖДЕН</w:t>
      </w:r>
    </w:p>
    <w:p>
      <w:pPr>
        <w:pStyle w:val="Normal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постановлением администрации Грайворонского городского округа</w:t>
      </w:r>
    </w:p>
    <w:p>
      <w:pPr>
        <w:pStyle w:val="Normal"/>
        <w:spacing w:before="10" w:after="10" w:line="216" w:lineRule="auto"/>
        <w:ind w:left="46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«___» _______  20___ года № _____</w:t>
      </w: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10" w:after="10" w:line="216" w:lineRule="auto"/>
        <w:ind w:left="46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10" w:after="10" w:line="216" w:lineRule="auto"/>
        <w:ind w:left="467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Грайворонского городского округа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долгосрочный период до 2027 года</w:t>
      </w: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Грайворонского городского округа на долгосрочный период до 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года (далее – бюджетный прогноз) разработан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Порядком разработки и утверждения бюджетного прогноза Грайворонского городского округа на долгосрочный период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основе долгосрочного прогноза социально-экономического развития Грайворонского городского округа, с учетом основных направлений бюджетной и налоговой политики Грайворонского городского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>
      <w:pPr>
        <w:pStyle w:val="UserStyle_28"/>
        <w:widowControl/>
        <w:spacing w:line="240" w:lineRule="auto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Целью долгосрочного бюджетного планирования является обеспечение предсказуемости динамики доходов и расходов бюджета Грайворонского городского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 эффективности функционирования бюджетной системы городского округа.</w:t>
      </w:r>
    </w:p>
    <w:p>
      <w:pPr>
        <w:pStyle w:val="UserStyle_28"/>
        <w:widowControl/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Основная задача долгосрочного бюджетного планирования состоит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увязке проводимой бюджетной политики с задачами по созданию долгосрочного устойчивого роста экономики и повышени</w:t>
      </w:r>
      <w:r>
        <w:rPr>
          <w:rStyle w:val="UserStyle_33"/>
          <w:sz w:val="28"/>
          <w:szCs w:val="28"/>
        </w:rPr>
        <w:t xml:space="preserve">я</w:t>
      </w:r>
      <w:r>
        <w:rPr>
          <w:rStyle w:val="UserStyle_33"/>
          <w:sz w:val="28"/>
          <w:szCs w:val="28"/>
        </w:rPr>
        <w:t xml:space="preserve"> уровня и качества жизни населения округа.</w:t>
      </w:r>
    </w:p>
    <w:p>
      <w:pPr>
        <w:pStyle w:val="UserStyle_28"/>
        <w:widowControl/>
        <w:spacing w:line="240" w:lineRule="auto"/>
        <w:ind w:firstLine="696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8"/>
        <w:widowControl/>
        <w:spacing w:line="240" w:lineRule="auto"/>
        <w:ind w:left="709"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1. Основные итоги исполнения бюджета Грайворонского городского округа</w:t>
      </w:r>
      <w:r>
        <w:rPr>
          <w:rStyle w:val="UserStyle_33"/>
          <w:b/>
          <w:bCs/>
          <w:sz w:val="28"/>
          <w:szCs w:val="28"/>
        </w:rPr>
        <w:t xml:space="preserve"> за 2021</w:t>
      </w:r>
      <w:r>
        <w:rPr>
          <w:rStyle w:val="UserStyle_33"/>
          <w:b/>
          <w:bCs/>
          <w:sz w:val="28"/>
          <w:szCs w:val="28"/>
        </w:rPr>
        <w:t xml:space="preserve"> год, </w:t>
      </w:r>
      <w:r>
        <w:rPr>
          <w:rStyle w:val="UserStyle_33"/>
          <w:b/>
          <w:bCs/>
          <w:sz w:val="28"/>
          <w:szCs w:val="28"/>
        </w:rPr>
        <w:br/>
      </w:r>
      <w:r>
        <w:rPr>
          <w:rStyle w:val="UserStyle_33"/>
          <w:b/>
          <w:bCs/>
          <w:sz w:val="28"/>
          <w:szCs w:val="28"/>
        </w:rPr>
        <w:t xml:space="preserve">условия формирования бюджетного прогноза</w:t>
      </w:r>
    </w:p>
    <w:p>
      <w:pPr>
        <w:pStyle w:val="UserStyle_28"/>
        <w:widowControl/>
        <w:spacing w:line="240" w:lineRule="auto"/>
        <w:ind w:firstLine="696"/>
        <w:jc w:val="center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Грайворонского городского округа на 2021 год утвержден решением Совета депутатов Грайворонского городского округа от 24 декабря 2020 года № 361 «О бюджете Грайворонского городского округа на 2021 год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 плановый период 2022 и 2023 годов» с последующим внесением в него изменений решением Совета депутатов Грайворонского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23 декабря 2021 года № 476 «О внесении изменения в решение Совета депутатов от 24 декабря 2020 года № 361 «О бюджете Грайворонского городского округа на 2021 год и на плановый период 2022 и 2023 годов»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 редакции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2021 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  <w:t xml:space="preserve"> № 389, от 30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2021 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  <w:t xml:space="preserve"> № 431,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27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2021 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  <w:t xml:space="preserve"> № 454)»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Грайворонского городского округа за 2021 год по доходам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учетом всех доходных ис</w:t>
      </w:r>
      <w:r>
        <w:rPr>
          <w:rFonts w:ascii="Times New Roman" w:hAnsi="Times New Roman"/>
          <w:sz w:val="28"/>
          <w:szCs w:val="28"/>
        </w:rPr>
        <w:t xml:space="preserve">точников исполнен в сумме 1 768 </w:t>
      </w:r>
      <w:r>
        <w:rPr>
          <w:rFonts w:ascii="Times New Roman" w:hAnsi="Times New Roman"/>
          <w:sz w:val="28"/>
          <w:szCs w:val="28"/>
        </w:rPr>
        <w:t xml:space="preserve">046 тыс. рублей, что составляет 99% от годо</w:t>
      </w:r>
      <w:r>
        <w:rPr>
          <w:rFonts w:ascii="Times New Roman" w:hAnsi="Times New Roman"/>
          <w:sz w:val="28"/>
          <w:szCs w:val="28"/>
        </w:rPr>
        <w:t xml:space="preserve">вого плана (1 </w:t>
      </w:r>
      <w:r>
        <w:rPr>
          <w:rFonts w:ascii="Times New Roman" w:hAnsi="Times New Roman"/>
          <w:sz w:val="28"/>
          <w:szCs w:val="28"/>
        </w:rPr>
        <w:t xml:space="preserve">782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669 тыс. рублей).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Налоговых и неналоговых доходов в бюджет Грайворонского городского о</w:t>
      </w:r>
      <w:r>
        <w:rPr>
          <w:rFonts w:ascii="Times New Roman" w:hAnsi="Times New Roman"/>
          <w:sz w:val="28"/>
          <w:szCs w:val="28"/>
        </w:rPr>
        <w:t xml:space="preserve">круга за 2021 год поступило 461 </w:t>
      </w:r>
      <w:r>
        <w:rPr>
          <w:rFonts w:ascii="Times New Roman" w:hAnsi="Times New Roman"/>
          <w:sz w:val="28"/>
          <w:szCs w:val="28"/>
        </w:rPr>
        <w:t xml:space="preserve">332 тыс. рублей, что составляет 100,3%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год</w:t>
      </w:r>
      <w:r>
        <w:rPr>
          <w:rFonts w:ascii="Times New Roman" w:hAnsi="Times New Roman"/>
          <w:sz w:val="28"/>
          <w:szCs w:val="28"/>
        </w:rPr>
        <w:t xml:space="preserve">овым бюджетным назначениям (459 </w:t>
      </w:r>
      <w:r>
        <w:rPr>
          <w:rFonts w:ascii="Times New Roman" w:hAnsi="Times New Roman"/>
          <w:sz w:val="28"/>
          <w:szCs w:val="28"/>
        </w:rPr>
        <w:t xml:space="preserve">902 тыс. рублей). План за 2021 год выполнен по всем доходным источникам. 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собственных налоговых и неналоговых доходов в общем объеме доходов бюджета за 2021 год составила 26,1%. 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поступ</w:t>
      </w:r>
      <w:r>
        <w:rPr>
          <w:rFonts w:ascii="Times New Roman" w:hAnsi="Times New Roman"/>
          <w:sz w:val="28"/>
          <w:szCs w:val="28"/>
        </w:rPr>
        <w:t xml:space="preserve">ления за 2021 год составили 442 </w:t>
      </w:r>
      <w:r>
        <w:rPr>
          <w:rFonts w:ascii="Times New Roman" w:hAnsi="Times New Roman"/>
          <w:sz w:val="28"/>
          <w:szCs w:val="28"/>
        </w:rPr>
        <w:t xml:space="preserve">524 тыс. рублей.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неналоговым доходам за 2021 год поступления составили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808 тыс. рублей. 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за 2021 год наибольший удельный вес занимает налог на доходы физических лиц – 78%, налоги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имущество – 11%, налоги на совокупный доход - 3,7%, акцизы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подакцизным товарам – 3,3%, доходы от использования имущества – 2,7%.</w:t>
      </w:r>
    </w:p>
    <w:p>
      <w:pPr>
        <w:pStyle w:val="User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виде дотации, субсидий, субвенций и иных межбюджетных трансфертов получены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1 306 815 </w:t>
      </w:r>
      <w:r>
        <w:rPr>
          <w:rFonts w:ascii="Times New Roman" w:hAnsi="Times New Roman"/>
          <w:sz w:val="28"/>
          <w:szCs w:val="28"/>
        </w:rPr>
        <w:t xml:space="preserve">тыс. рублей, что составляет 98,9% к годовым бюджетным назначениям (1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321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866 тыс. рублей). Доля безвозмездных поступлений в доходной части бюджета составила 73,9%.</w:t>
      </w:r>
    </w:p>
    <w:p>
      <w:pPr>
        <w:pStyle w:val="Normal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 Грайворонского городского округа за 2021 год исполнен в сумме 1</w:t>
      </w:r>
      <w:r>
        <w:rPr>
          <w:sz w:val="28"/>
          <w:szCs w:val="28"/>
        </w:rPr>
        <w:t xml:space="preserve"> 775 </w:t>
      </w:r>
      <w:r>
        <w:rPr>
          <w:sz w:val="28"/>
          <w:szCs w:val="28"/>
        </w:rPr>
        <w:t xml:space="preserve">655 тыс. рублей, или на 99% к утвержденному плану.</w:t>
      </w:r>
    </w:p>
    <w:p>
      <w:pPr>
        <w:pStyle w:val="Normal"/>
        <w:ind w:firstLine="696"/>
        <w:jc w:val="both"/>
      </w:pPr>
    </w:p>
    <w:p>
      <w:pPr>
        <w:pStyle w:val="Normal"/>
        <w:ind w:right="70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расходования средств бюджета </w:t>
      </w:r>
    </w:p>
    <w:p>
      <w:pPr>
        <w:pStyle w:val="Normal"/>
        <w:ind w:right="70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 на 2021 год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0"/>
        <w:gridCol w:w="3327"/>
        <w:gridCol w:w="2409"/>
        <w:gridCol w:w="1701"/>
        <w:gridCol w:w="1525"/>
      </w:tblGrid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п/п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</w:t>
            </w:r>
          </w:p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по сводной бюджетной росписи (тыс. рублей)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Исполнение</w:t>
            </w:r>
          </w:p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(тыс. рублей)</w:t>
            </w:r>
          </w:p>
        </w:tc>
        <w:tc>
          <w:tcPr>
            <w:tcW w:w="1525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исполнения к плану</w:t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0100 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«Общегосударственные  расходы»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105 318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104 403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0400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«Национальная экономика»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212 290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209 569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0500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«Жилищно-коммунальное хозяйство»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130 689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130 241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0700 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«Образование»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808 905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807 097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0800 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«Культура, кинематография»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172 710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169 139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0900 «Здравоохранение»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14 604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14 604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1000 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политика»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287 084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275 579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</w:p>
        </w:tc>
        <w:tc>
          <w:tcPr>
            <w:tcW w:w="332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1100 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«Физическая культура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спорт»</w:t>
            </w:r>
          </w:p>
        </w:tc>
        <w:tc>
          <w:tcPr>
            <w:tcW w:w="2409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47 415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47 024</w:t>
            </w: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округа</w:t>
      </w:r>
      <w:r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сформирован и исполнен в программном формате на основе 14 муниципальных программ.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программных расходов составила </w:t>
      </w:r>
      <w:r>
        <w:rPr>
          <w:sz w:val="28"/>
          <w:szCs w:val="28"/>
        </w:rPr>
        <w:t xml:space="preserve">99</w:t>
      </w:r>
      <w:r>
        <w:rPr>
          <w:sz w:val="28"/>
          <w:szCs w:val="28"/>
        </w:rPr>
        <w:t xml:space="preserve">% в общей сумме расходов бюджета Грайворонского городского округа.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в первоочередном порядке финансировались расходы по оплате труда работников муниципальных учреждений, приобретению продуктов питания, исполнению публично-нормативных обязательств и оплате коммунальных услуг.</w:t>
      </w:r>
    </w:p>
    <w:p>
      <w:pPr>
        <w:pStyle w:val="Normal"/>
        <w:tabs>
          <w:tab w:val="left" w:pos="4253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де</w:t>
      </w:r>
      <w:r>
        <w:rPr>
          <w:sz w:val="28"/>
          <w:szCs w:val="28"/>
        </w:rPr>
        <w:t xml:space="preserve">фицит бюджета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исполнению составил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610</w:t>
      </w:r>
      <w:r>
        <w:rPr>
          <w:sz w:val="28"/>
          <w:szCs w:val="28"/>
        </w:rPr>
        <w:t xml:space="preserve"> тыс. рублей.</w:t>
      </w:r>
    </w:p>
    <w:p>
      <w:pPr>
        <w:pStyle w:val="Normal"/>
        <w:tabs>
          <w:tab w:val="left" w:pos="4253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 декабря 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года в Грайворонском городском округе долговых обязательств не имеется.</w:t>
      </w:r>
    </w:p>
    <w:p>
      <w:pPr>
        <w:pStyle w:val="Normal"/>
        <w:widowControl w:val="o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Грайворонском городском округе проводилась последовательная работа по оздоровлению муниципальных финансов, совершенствованию бюджетного процесса и учета, усилению контрольных функций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использовании денежных средств и сохранности материальных ценностей.</w:t>
      </w:r>
    </w:p>
    <w:p>
      <w:pPr>
        <w:pStyle w:val="UserStyle_28"/>
        <w:spacing w:line="240" w:lineRule="auto"/>
        <w:ind w:firstLine="696"/>
        <w:rPr>
          <w:rStyle w:val="UserStyle_33"/>
          <w:b/>
          <w:sz w:val="20"/>
          <w:szCs w:val="20"/>
        </w:rPr>
      </w:pPr>
      <w:r>
        <w:rPr>
          <w:rStyle w:val="UserStyle_33"/>
          <w:b/>
          <w:sz w:val="20"/>
          <w:szCs w:val="20"/>
        </w:rPr>
      </w:r>
    </w:p>
    <w:p>
      <w:pPr>
        <w:pStyle w:val="UserStyle_28"/>
        <w:spacing w:line="240" w:lineRule="auto"/>
        <w:ind w:left="709" w:right="566" w:firstLine="0"/>
        <w:jc w:val="center"/>
        <w:rPr>
          <w:rStyle w:val="UserStyle_33"/>
          <w:b/>
          <w:sz w:val="28"/>
          <w:szCs w:val="28"/>
        </w:rPr>
      </w:pPr>
      <w:r>
        <w:rPr>
          <w:rStyle w:val="UserStyle_33"/>
          <w:b/>
          <w:sz w:val="28"/>
          <w:szCs w:val="28"/>
        </w:rPr>
        <w:t xml:space="preserve">Условия формирования бюджетного прогноза</w:t>
      </w:r>
    </w:p>
    <w:p>
      <w:pPr>
        <w:pStyle w:val="UserStyle_28"/>
        <w:spacing w:line="240" w:lineRule="auto"/>
        <w:ind w:firstLine="696"/>
        <w:rPr>
          <w:rStyle w:val="UserStyle_33"/>
          <w:b/>
          <w:sz w:val="20"/>
          <w:szCs w:val="20"/>
        </w:rPr>
      </w:pPr>
      <w:r>
        <w:rPr>
          <w:rStyle w:val="UserStyle_33"/>
          <w:b/>
          <w:sz w:val="20"/>
          <w:szCs w:val="20"/>
        </w:rPr>
      </w:r>
    </w:p>
    <w:p>
      <w:pPr>
        <w:pStyle w:val="UserStyle_28"/>
        <w:spacing w:line="240" w:lineRule="auto"/>
        <w:ind w:firstLine="71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Бюджетный прогноз сформирован исходя из базового сценария развития экономики Грайворонского городского округа, который 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политики.</w:t>
      </w:r>
    </w:p>
    <w:p>
      <w:pPr>
        <w:pStyle w:val="UserStyle_28"/>
        <w:widowControl/>
        <w:spacing w:line="240" w:lineRule="auto"/>
        <w:ind w:firstLine="71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Основные показатели прогноза социально-экономического развития  Грайворонского городского округа на долгосрочный период отражены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приложении № 1 к настоящему бюджетному прогнозу.</w:t>
      </w:r>
    </w:p>
    <w:p>
      <w:pPr>
        <w:pStyle w:val="UserStyle_28"/>
        <w:widowControl/>
        <w:spacing w:line="240" w:lineRule="auto"/>
        <w:ind w:firstLine="715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8"/>
        <w:widowControl/>
        <w:spacing w:line="240" w:lineRule="auto"/>
        <w:ind w:left="709"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2. Подходы и методология разработки </w:t>
      </w:r>
    </w:p>
    <w:p>
      <w:pPr>
        <w:pStyle w:val="UserStyle_28"/>
        <w:widowControl/>
        <w:spacing w:line="240" w:lineRule="auto"/>
        <w:ind w:left="709" w:right="708" w:firstLine="0"/>
        <w:jc w:val="center"/>
        <w:rPr>
          <w:rStyle w:val="UserStyle_33"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бюджетного прогноза </w:t>
      </w:r>
      <w:r>
        <w:rPr>
          <w:rStyle w:val="UserStyle_33"/>
          <w:sz w:val="28"/>
          <w:szCs w:val="28"/>
        </w:rPr>
      </w:r>
    </w:p>
    <w:p>
      <w:pPr>
        <w:pStyle w:val="UserStyle_28"/>
        <w:widowControl/>
        <w:spacing w:line="240" w:lineRule="auto"/>
        <w:ind w:left="709" w:firstLine="0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Бюджетная политика Грайворонского городского округа на предстоящий период должна в полной мере учитывать прогнозируемые риски развития экономики и предусматривать адекватные меры по минимизации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их неблагоприятного влияния на качество жизни населения округа.</w:t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>
      <w:pPr>
        <w:pStyle w:val="Normal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мероприятий в сфере налоговой политики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долгосрочной перспективе будет продолжена работа по реализации намеченных целей и задач </w:t>
      </w:r>
      <w:r>
        <w:rPr>
          <w:sz w:val="28"/>
          <w:szCs w:val="28"/>
        </w:rPr>
        <w:t xml:space="preserve">по следующим направлениям:</w:t>
      </w:r>
    </w:p>
    <w:p>
      <w:pPr>
        <w:pStyle w:val="Normal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продолжение совместной работы с налоговым органом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(по согласованию), другими главными администраторами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части предоставления сведений, обеспечивающих достоверность прогноза доходов бюджета;</w:t>
      </w:r>
    </w:p>
    <w:p>
      <w:pPr>
        <w:pStyle w:val="Normal"/>
        <w:widowControl w:val="off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ответственности главных администраторов доходов бюджета за выполнение плановых показателей по доходным источникам;</w:t>
      </w:r>
      <w:r>
        <w:rPr>
          <w:sz w:val="28"/>
          <w:szCs w:val="28"/>
        </w:rPr>
      </w:r>
    </w:p>
    <w:p>
      <w:pPr>
        <w:pStyle w:val="Normal"/>
        <w:widowControl w:val="off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результативности деятельности главных администраторов доходов, направленной на безусловное исполнение всеми плательщиками своих обязательств перед бюджетом;</w:t>
      </w:r>
      <w:r>
        <w:rPr>
          <w:sz w:val="28"/>
          <w:szCs w:val="28"/>
        </w:rPr>
      </w:r>
    </w:p>
    <w:p>
      <w:pPr>
        <w:pStyle w:val="Normal"/>
        <w:widowControl w:val="off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мер принудительного взыскания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недоимщиков по платежам в бюджет;</w:t>
      </w:r>
      <w:r>
        <w:rPr>
          <w:sz w:val="28"/>
          <w:szCs w:val="28"/>
        </w:rPr>
      </w:r>
    </w:p>
    <w:p>
      <w:pPr>
        <w:pStyle w:val="Normal"/>
        <w:widowControl w:val="off"/>
        <w:tabs>
          <w:tab w:val="left" w:pos="1134" w:leader="none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контроля за образованием недоимки по налогам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принятие всех исчерпывающих мер для ее снижения. </w:t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>
      <w:pPr>
        <w:pStyle w:val="UserStyle_29"/>
        <w:widowControl/>
        <w:tabs>
          <w:tab w:val="left" w:pos="1018" w:leader="none"/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реализация эффективной бюджетной политики, направленной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на долгосрочную устойчивость и сбалансированность бюджета городского округа укрепление его доходной базы, формирование оптимальной структуры расходов бюджета, ориентированной на содействие социальному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 экономическому развитию округа;</w:t>
      </w:r>
      <w:r>
        <w:rPr>
          <w:rStyle w:val="UserStyle_33"/>
          <w:sz w:val="28"/>
          <w:szCs w:val="28"/>
        </w:rPr>
      </w:r>
    </w:p>
    <w:p>
      <w:pPr>
        <w:pStyle w:val="UserStyle_29"/>
        <w:widowControl/>
        <w:tabs>
          <w:tab w:val="left" w:pos="1018" w:leader="none"/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повышение эффективности бюджетных расходов, формирование бюджетных параметров исходя из четкой необходимости безусловного исполнения действующих расходных обязательств, в том числе с учетом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При исполнении бюджета округа необходимо обеспечить максимальную экономию бюджетных средств за счет их рационального использования;</w:t>
      </w:r>
    </w:p>
    <w:p>
      <w:pPr>
        <w:pStyle w:val="UserStyle_32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осуществление мероприятий, направленных на повышение эффективности социально-экономической политики;</w:t>
      </w:r>
    </w:p>
    <w:p>
      <w:pPr>
        <w:pStyle w:val="Normal"/>
        <w:tabs>
          <w:tab w:val="left" w:pos="1134" w:leader="none"/>
        </w:tabs>
        <w:ind w:firstLine="696"/>
        <w:jc w:val="both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повышение эффективности оказания муниципальных услуг,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том числе путем оптимизации структуры бюджетной сети за счет ликвидации или </w:t>
      </w:r>
      <w:r>
        <w:rPr>
          <w:sz w:val="28"/>
          <w:szCs w:val="28"/>
        </w:rPr>
        <w:t xml:space="preserve">изменения организационно-правовой формы </w:t>
      </w:r>
      <w:r>
        <w:rPr>
          <w:rStyle w:val="UserStyle_33"/>
          <w:sz w:val="28"/>
          <w:szCs w:val="28"/>
        </w:rPr>
        <w:t xml:space="preserve">муниципальных учреждений;</w:t>
      </w:r>
    </w:p>
    <w:p>
      <w:pPr>
        <w:pStyle w:val="UserStyle_29"/>
        <w:widowControl/>
        <w:tabs>
          <w:tab w:val="left" w:pos="1018" w:leader="none"/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повышение эффективности системы муниципального финансового контроля, внутреннего финансового контроля и внутреннего финансового аудита.</w:t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Развитие системы муниципального финансового контроля, контроля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сфере закупок,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>
      <w:pPr>
        <w:pStyle w:val="UserStyle_28"/>
        <w:widowControl/>
        <w:tabs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(результативности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 экономности) бюджетных расходов;</w:t>
      </w:r>
    </w:p>
    <w:p>
      <w:pPr>
        <w:pStyle w:val="UserStyle_29"/>
        <w:widowControl/>
        <w:tabs>
          <w:tab w:val="left" w:pos="1085" w:leader="none"/>
          <w:tab w:val="left" w:pos="1134" w:leader="none"/>
        </w:tabs>
        <w:spacing w:line="240" w:lineRule="auto"/>
        <w:ind w:firstLine="696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обеспечение открытости и прозрачности муниципальных финансов Грайворонского городского округа, в том числе за счет публикации «Бюджета для граждан».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UserStyle_33"/>
          <w:sz w:val="20"/>
          <w:szCs w:val="20"/>
        </w:rPr>
        <w:br w:type="page"/>
      </w:r>
      <w:r>
        <w:rPr>
          <w:rStyle w:val="UserStyle_33"/>
          <w:b/>
          <w:bCs/>
          <w:sz w:val="28"/>
          <w:szCs w:val="28"/>
        </w:rPr>
        <w:t xml:space="preserve">3. Прогноз основных характеристик и иных показателей бюджета Грайворонского городского округа на долгосрочный период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User"/>
        <w:widowControl w:val="off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"/>
        <w:widowControl w:val="o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Проектные разработки доходной базы бюджета осуществлены на основе прогноза социально-экономического развития Грайворонского городского округа на долгосрочный период.</w:t>
      </w:r>
    </w:p>
    <w:p>
      <w:pPr>
        <w:pStyle w:val="User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прогнозных сумм по доходам определялись параметры налогового потенциала, ожидаемая оценка поступления доходов в текущем году, прогнозные расчеты крупных налогоплательщиков, наличие неиспользуемых резервов</w:t>
      </w:r>
      <w:r>
        <w:rPr>
          <w:rFonts w:ascii="Times New Roman" w:hAnsi="Times New Roman"/>
          <w:sz w:val="28"/>
          <w:szCs w:val="28"/>
        </w:rPr>
        <w:t xml:space="preserve"> для увеличения доходной части </w:t>
      </w:r>
      <w:r>
        <w:rPr>
          <w:rFonts w:ascii="Times New Roman" w:hAnsi="Times New Roman"/>
          <w:sz w:val="28"/>
          <w:szCs w:val="28"/>
        </w:rPr>
        <w:t xml:space="preserve">бюджета.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по каждому виду доходов производилось главными администраторами доходов бюджета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утвержденными методиками прогнозирования поступлений доходов исходя из сложившейся динамики их начислений и поступлений за ряд лет, ожидаемой оценки поступлений доходов в текущем году. При планировании доходов также использовались прогнозируемые показатели фонда оплаты труда и темпы его роста, протяженность дорог общего пользования, кадастровая стоимость земли и объектов недвижимого имущества, действующие и планируемые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заключению договоры на передачу в аренду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имущества, действующие ставки по налоговым и неналоговым платежам.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отдельным доходным источникам учтены экономические темпы инфляции, базовым из которых является индекс роста потребительских цен.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проекта бюджета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прогнозируемый период определена исходя из нормативов отчислений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федеральных налогов и сборов, в том числе от налогов, предусмотренных специальными налоговыми режимами в местные бюджеты, местных налогов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неналоговых доходов, предусмотренных Бюджетным кодексом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Белгородской области от 02 ноября 2015 года № 9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установлении единой даты начала применения на территории Белгородской области порядка определения налоговой базы по налогу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имущество физических лиц исходя из кадастровой стоимости объектов налогообложения» установлена единая дата начала применения на территории Белгородской области порядка определения налоговой базы по налогу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имущество физических лиц исходя из кадастровой стоимости объектов налогообложения с 1 января 2016 года. Поэтому прогноз поступлений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налогу на </w:t>
      </w:r>
      <w:r>
        <w:rPr>
          <w:sz w:val="28"/>
          <w:szCs w:val="28"/>
        </w:rPr>
        <w:t xml:space="preserve">имущество физических лиц на 2022</w:t>
      </w:r>
      <w:r>
        <w:rPr>
          <w:sz w:val="28"/>
          <w:szCs w:val="28"/>
        </w:rPr>
        <w:t xml:space="preserve">- 202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годы определен исходя из кадастровой стоимости объектов недвижимости и на базе положений главы 32 Налогового кодекса Российской Федерации, а также ставок, установленных решением Совета депутатов Грайворонского городского округа.</w:t>
      </w:r>
    </w:p>
    <w:p>
      <w:pPr>
        <w:pStyle w:val="User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налоговые и неналоговые поступления будут обеспечены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основном за счет налога на доходы физических лиц, земельного налога, акцизов по подакцизным товарам, налога на имущество физических лиц, доходов от использования имущества, находящегося в муниципальной собственности. Их доля в общем объеме собственных налоговых и неналоговых доходов бюджета в плановом и долгосрочном периоде составит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95 процентов.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Грайворонского городского округа сформированы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учетом возможностей доходной части бюджета (приложения № 2,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настоящему бюджетному прогнозу).</w:t>
      </w:r>
    </w:p>
    <w:p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округе расходов направлена на повышение эффективности бюджетных расходов за счет применения современных методов предоставления муниципальных услуг, оптимизации структуры расходов, концентрации ресурсов на приоритетных направлениях.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расходов бюджетного прогноза предусмотрены ассигнования на реализацию государственных полномочий Российской Федерации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субъекта Российской Федерации за счет межбюджетных трансфертов.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бюджетного прогноза выдержана его социальная направленность и адресность оказания помощи населению.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right="708" w:firstLine="0"/>
        <w:jc w:val="center"/>
        <w:rPr>
          <w:rStyle w:val="UserStyle_33"/>
          <w:b/>
          <w:bCs/>
          <w:color w:val="000000"/>
          <w:sz w:val="28"/>
          <w:szCs w:val="28"/>
        </w:rPr>
      </w:pPr>
      <w:r>
        <w:rPr>
          <w:rStyle w:val="UserStyle_33"/>
          <w:b/>
          <w:bCs/>
          <w:color w:val="000000"/>
          <w:sz w:val="28"/>
          <w:szCs w:val="28"/>
        </w:rPr>
        <w:t xml:space="preserve">4. Структура расходов и доходов бюджета 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right="708" w:firstLine="0"/>
        <w:jc w:val="center"/>
        <w:rPr>
          <w:rStyle w:val="UserStyle_33"/>
          <w:b/>
          <w:bCs/>
          <w:color w:val="000000"/>
          <w:sz w:val="28"/>
          <w:szCs w:val="28"/>
        </w:rPr>
      </w:pPr>
      <w:r>
        <w:rPr>
          <w:rStyle w:val="UserStyle_33"/>
          <w:b/>
          <w:bCs/>
          <w:color w:val="000000"/>
          <w:sz w:val="28"/>
          <w:szCs w:val="28"/>
        </w:rPr>
        <w:t xml:space="preserve">Грайворонского городского округа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tbl>
      <w:tblPr>
        <w:tblW w:w="9654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774"/>
        <w:gridCol w:w="1417"/>
        <w:gridCol w:w="1276"/>
        <w:gridCol w:w="1276"/>
        <w:gridCol w:w="1417"/>
        <w:gridCol w:w="1219"/>
        <w:gridCol w:w="1275"/>
      </w:tblGrid>
      <w:tr>
        <w:trPr>
          <w:trHeight w:val="375"/>
        </w:trPr>
        <w:tc>
          <w:tcPr>
            <w:tcW w:w="9654" w:type="dxa"/>
            <w:gridSpan w:val="7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доходной части бюджета на 20</w:t>
            </w:r>
            <w:r>
              <w:rPr>
                <w:color w:val="000000"/>
                <w:sz w:val="28"/>
                <w:szCs w:val="28"/>
              </w:rPr>
              <w:t xml:space="preserve">22</w:t>
            </w:r>
            <w:r>
              <w:rPr>
                <w:color w:val="000000"/>
                <w:sz w:val="28"/>
                <w:szCs w:val="28"/>
              </w:rPr>
              <w:t xml:space="preserve">-202</w:t>
            </w:r>
            <w:r>
              <w:rPr>
                <w:color w:val="000000"/>
                <w:sz w:val="28"/>
                <w:szCs w:val="28"/>
              </w:rPr>
              <w:t xml:space="preserve">4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>
        <w:trPr>
          <w:trHeight w:val="315"/>
        </w:trPr>
        <w:tc>
          <w:tcPr>
            <w:tcW w:w="1774" w:type="dxa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94" w:type="dxa"/>
            <w:gridSpan w:val="2"/>
            <w:tcBorders>
              <w:top w:val="none"/>
              <w:left w:val="none"/>
              <w:bottom w:val="single" w:color="000000" w:sz="4" w:space="0"/>
              <w:right w:val="none"/>
            </w:tcBorders>
            <w:noWrap/>
            <w:textDirection w:val="lrTb"/>
            <w:vAlign w:val="bottom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тыс. рублей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124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нование</w:t>
            </w:r>
          </w:p>
        </w:tc>
        <w:tc>
          <w:tcPr>
            <w:tcW w:w="1417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2022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прогноз</w:t>
            </w:r>
          </w:p>
        </w:tc>
        <w:tc>
          <w:tcPr>
            <w:tcW w:w="1276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видов доходных источни-ков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доходов бюджета</w:t>
            </w:r>
          </w:p>
        </w:tc>
        <w:tc>
          <w:tcPr>
            <w:tcW w:w="1276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прогноз</w:t>
            </w:r>
          </w:p>
        </w:tc>
        <w:tc>
          <w:tcPr>
            <w:tcW w:w="1417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видов доходных источни-ков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доходов бюджета</w:t>
            </w:r>
          </w:p>
        </w:tc>
        <w:tc>
          <w:tcPr>
            <w:tcW w:w="121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2024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прогноз</w:t>
            </w:r>
          </w:p>
        </w:tc>
        <w:tc>
          <w:tcPr>
            <w:tcW w:w="1275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видов доходных источни-ков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доходов бюджета</w:t>
            </w:r>
          </w:p>
        </w:tc>
      </w:tr>
      <w:tr>
        <w:trPr>
          <w:trHeight w:val="551"/>
        </w:trPr>
        <w:tc>
          <w:tcPr>
            <w:tcW w:w="17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Налоговые доходы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467 592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21,6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499 666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30,5</w:t>
            </w:r>
          </w:p>
        </w:tc>
        <w:tc>
          <w:tcPr>
            <w:tcW w:w="121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533 886</w:t>
            </w:r>
          </w:p>
        </w:tc>
        <w:tc>
          <w:tcPr>
            <w:tcW w:w="1275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32,7</w:t>
            </w:r>
          </w:p>
        </w:tc>
      </w:tr>
      <w:tr>
        <w:trPr>
          <w:trHeight w:val="573"/>
        </w:trPr>
        <w:tc>
          <w:tcPr>
            <w:tcW w:w="17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Неналоговые доходы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12 105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12 218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</w:t>
            </w:r>
          </w:p>
        </w:tc>
        <w:tc>
          <w:tcPr>
            <w:tcW w:w="121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12 353</w:t>
            </w:r>
          </w:p>
        </w:tc>
        <w:tc>
          <w:tcPr>
            <w:tcW w:w="1275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</w:t>
            </w:r>
          </w:p>
        </w:tc>
      </w:tr>
      <w:tr>
        <w:trPr>
          <w:trHeight w:val="1075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налоговых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и неналоговых доходов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479 697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22,2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511 884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31,2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546 239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33,5</w:t>
            </w:r>
          </w:p>
        </w:tc>
      </w:tr>
      <w:tr>
        <w:trPr>
          <w:trHeight w:val="555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</w:t>
            </w:r>
          </w:p>
        </w:tc>
        <w:tc>
          <w:tcPr>
            <w:tcW w:w="1417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1 680 074</w:t>
            </w:r>
          </w:p>
        </w:tc>
        <w:tc>
          <w:tcPr>
            <w:tcW w:w="1276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77,8</w:t>
            </w:r>
          </w:p>
        </w:tc>
        <w:tc>
          <w:tcPr>
            <w:tcW w:w="1276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1 126 089</w:t>
            </w:r>
          </w:p>
        </w:tc>
        <w:tc>
          <w:tcPr>
            <w:tcW w:w="1417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68,8</w:t>
            </w:r>
          </w:p>
        </w:tc>
        <w:tc>
          <w:tcPr>
            <w:tcW w:w="1219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1 083 776</w:t>
            </w:r>
          </w:p>
        </w:tc>
        <w:tc>
          <w:tcPr>
            <w:tcW w:w="1275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66,5</w:t>
            </w:r>
          </w:p>
        </w:tc>
      </w:tr>
      <w:tr>
        <w:trPr>
          <w:trHeight w:val="421"/>
        </w:trPr>
        <w:tc>
          <w:tcPr>
            <w:tcW w:w="17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всего: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2 159 771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</w:t>
            </w:r>
          </w:p>
        </w:tc>
        <w:tc>
          <w:tcPr>
            <w:tcW w:w="1276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1 637 973</w:t>
            </w:r>
          </w:p>
        </w:tc>
        <w:tc>
          <w:tcPr>
            <w:tcW w:w="141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</w:t>
            </w:r>
          </w:p>
        </w:tc>
        <w:tc>
          <w:tcPr>
            <w:tcW w:w="121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1 630 015</w:t>
            </w:r>
          </w:p>
        </w:tc>
        <w:tc>
          <w:tcPr>
            <w:tcW w:w="1275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</w:t>
            </w:r>
          </w:p>
        </w:tc>
      </w:tr>
    </w:tbl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tabs>
          <w:tab w:val="left" w:pos="1085" w:leader="none"/>
        </w:tabs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расходной части бюджета на 2022-202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1085" w:leader="none"/>
        </w:tabs>
        <w:ind w:firstLine="71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85" w:leader="none"/>
        </w:tabs>
        <w:ind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рублей</w:t>
      </w:r>
    </w:p>
    <w:p>
      <w:pPr>
        <w:pStyle w:val="Normal"/>
        <w:tabs>
          <w:tab w:val="left" w:pos="1085" w:leader="none"/>
        </w:tabs>
        <w:ind w:firstLine="71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074"/>
        <w:gridCol w:w="1184"/>
        <w:gridCol w:w="1409"/>
        <w:gridCol w:w="1183"/>
        <w:gridCol w:w="1409"/>
        <w:gridCol w:w="1187"/>
        <w:gridCol w:w="1409"/>
      </w:tblGrid>
      <w:tr>
        <w:trPr>
          <w:trHeight w:val="1924"/>
          <w:tblHeader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</w:t>
            </w:r>
          </w:p>
        </w:tc>
        <w:tc>
          <w:tcPr>
            <w:tcW w:w="1184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2022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бюджет</w:t>
            </w:r>
          </w:p>
        </w:tc>
        <w:tc>
          <w:tcPr>
            <w:tcW w:w="1409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расходов бюджета</w:t>
            </w:r>
          </w:p>
        </w:tc>
        <w:tc>
          <w:tcPr>
            <w:tcW w:w="1183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бюджет</w:t>
            </w:r>
          </w:p>
        </w:tc>
        <w:tc>
          <w:tcPr>
            <w:tcW w:w="1409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расходов бюджета</w:t>
            </w:r>
          </w:p>
        </w:tc>
        <w:tc>
          <w:tcPr>
            <w:tcW w:w="1187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2024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год прогноз</w:t>
            </w:r>
          </w:p>
        </w:tc>
        <w:tc>
          <w:tcPr>
            <w:tcW w:w="1409" w:type="dxa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общем объеме расходов бюджета</w:t>
            </w:r>
          </w:p>
        </w:tc>
      </w:tr>
      <w:tr>
        <w:trPr>
          <w:trHeight w:val="998"/>
        </w:trPr>
        <w:tc>
          <w:tcPr>
            <w:tcW w:w="20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за счет за счет собственных средств бюджета</w:t>
            </w:r>
          </w:p>
        </w:tc>
        <w:tc>
          <w:tcPr>
            <w:tcW w:w="1184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779 993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</w:t>
            </w:r>
          </w:p>
        </w:tc>
        <w:tc>
          <w:tcPr>
            <w:tcW w:w="1183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751 511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</w:t>
            </w:r>
          </w:p>
        </w:tc>
        <w:tc>
          <w:tcPr>
            <w:tcW w:w="118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773 884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</w:t>
            </w:r>
          </w:p>
        </w:tc>
      </w:tr>
      <w:tr>
        <w:trPr>
          <w:trHeight w:val="805"/>
        </w:trPr>
        <w:tc>
          <w:tcPr>
            <w:tcW w:w="20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за счет безвозмездных поступлений</w:t>
            </w:r>
          </w:p>
        </w:tc>
        <w:tc>
          <w:tcPr>
            <w:tcW w:w="1184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1 379 778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</w:t>
            </w:r>
          </w:p>
        </w:tc>
        <w:tc>
          <w:tcPr>
            <w:tcW w:w="1183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886 462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</w:t>
            </w:r>
          </w:p>
        </w:tc>
        <w:tc>
          <w:tcPr>
            <w:tcW w:w="118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856 131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</w:t>
            </w:r>
          </w:p>
        </w:tc>
      </w:tr>
      <w:tr>
        <w:trPr>
          <w:trHeight w:val="461"/>
        </w:trPr>
        <w:tc>
          <w:tcPr>
            <w:tcW w:w="2074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всего:</w:t>
            </w:r>
          </w:p>
        </w:tc>
        <w:tc>
          <w:tcPr>
            <w:tcW w:w="1184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2 159 771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183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1 637 973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100</w:t>
            </w:r>
          </w:p>
        </w:tc>
        <w:tc>
          <w:tcPr>
            <w:tcW w:w="1187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1 630 015</w:t>
            </w:r>
          </w:p>
        </w:tc>
        <w:tc>
          <w:tcPr>
            <w:tcW w:w="1409" w:type="dxa"/>
            <w:tcBorders>
              <w:top w:val="none"/>
              <w:left w:val="none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100</w:t>
            </w:r>
          </w:p>
        </w:tc>
      </w:tr>
    </w:tbl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5. Муниципальный долг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Долговых обязательств в Грайворонском городском округе не имеется.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6. Оценка и минимизация бюджетных рисков</w:t>
      </w:r>
    </w:p>
    <w:p>
      <w:pPr>
        <w:pStyle w:val="UserStyle_29"/>
        <w:widowControl/>
        <w:tabs>
          <w:tab w:val="left" w:pos="1085" w:leader="none"/>
        </w:tabs>
        <w:spacing w:line="240" w:lineRule="auto"/>
        <w:jc w:val="center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9"/>
        <w:widowControl/>
        <w:tabs>
          <w:tab w:val="left" w:pos="1085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на финансовые показатели округа и</w:t>
      </w:r>
      <w:r>
        <w:rPr>
          <w:rStyle w:val="UserStyle_33"/>
          <w:sz w:val="28"/>
          <w:szCs w:val="28"/>
        </w:rPr>
        <w:t xml:space="preserve">,</w:t>
      </w:r>
      <w:r>
        <w:rPr>
          <w:rStyle w:val="UserStyle_33"/>
          <w:sz w:val="28"/>
          <w:szCs w:val="28"/>
        </w:rPr>
        <w:t xml:space="preserve"> в конечном счете</w:t>
      </w:r>
      <w:r>
        <w:rPr>
          <w:rStyle w:val="UserStyle_33"/>
          <w:sz w:val="28"/>
          <w:szCs w:val="28"/>
        </w:rPr>
        <w:t xml:space="preserve">,</w:t>
      </w:r>
      <w:r>
        <w:rPr>
          <w:rStyle w:val="UserStyle_33"/>
          <w:sz w:val="28"/>
          <w:szCs w:val="28"/>
        </w:rPr>
        <w:t xml:space="preserve"> на качество жизни населения.</w:t>
      </w:r>
    </w:p>
    <w:p>
      <w:pPr>
        <w:pStyle w:val="UserStyle_28"/>
        <w:widowControl/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бюджетной системы Грайворонского городского округа являются:</w:t>
      </w:r>
    </w:p>
    <w:p>
      <w:pPr>
        <w:pStyle w:val="UserStyle_29"/>
        <w:widowControl/>
        <w:tabs>
          <w:tab w:val="left" w:pos="1018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превышение прогнозируемого уровня инфляции;</w:t>
      </w:r>
    </w:p>
    <w:p>
      <w:pPr>
        <w:pStyle w:val="UserStyle_29"/>
        <w:widowControl/>
        <w:tabs>
          <w:tab w:val="left" w:pos="1018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сокращение межбюджетных трансфертов;</w:t>
      </w:r>
    </w:p>
    <w:p>
      <w:pPr>
        <w:pStyle w:val="UserStyle_31"/>
        <w:widowControl/>
        <w:tabs>
          <w:tab w:val="left" w:pos="1027" w:leader="none"/>
        </w:tabs>
        <w:spacing w:line="240" w:lineRule="auto"/>
        <w:ind w:right="-1" w:firstLine="725"/>
        <w:jc w:val="both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  <w:tab/>
      </w:r>
      <w:r>
        <w:rPr>
          <w:rStyle w:val="UserStyle_33"/>
          <w:sz w:val="28"/>
          <w:szCs w:val="28"/>
        </w:rPr>
        <w:t xml:space="preserve">передача дополнительных расходных обязательств.</w:t>
      </w:r>
    </w:p>
    <w:p>
      <w:pPr>
        <w:pStyle w:val="UserStyle_31"/>
        <w:widowControl/>
        <w:tabs>
          <w:tab w:val="left" w:pos="1027" w:leader="none"/>
        </w:tabs>
        <w:spacing w:line="240" w:lineRule="auto"/>
        <w:ind w:right="-1" w:firstLine="725"/>
        <w:jc w:val="both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Мероприятия по минимизации бюджетных рисков:</w:t>
      </w:r>
    </w:p>
    <w:p>
      <w:pPr>
        <w:pStyle w:val="UserStyle_29"/>
        <w:widowControl/>
        <w:tabs>
          <w:tab w:val="left" w:pos="1013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  <w:tab/>
      </w:r>
      <w:r>
        <w:rPr>
          <w:rStyle w:val="UserStyle_33"/>
          <w:sz w:val="28"/>
          <w:szCs w:val="28"/>
        </w:rPr>
        <w:t xml:space="preserve">повышение доходного потенциала округа;</w:t>
      </w:r>
    </w:p>
    <w:p>
      <w:pPr>
        <w:pStyle w:val="UserStyle_29"/>
        <w:widowControl/>
        <w:tabs>
          <w:tab w:val="left" w:pos="1013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максимальное наполнение доходной части бюджета для осуществления социально значимых расходов;</w:t>
      </w:r>
    </w:p>
    <w:p>
      <w:pPr>
        <w:pStyle w:val="UserStyle_29"/>
        <w:widowControl/>
        <w:tabs>
          <w:tab w:val="left" w:pos="1013" w:leader="none"/>
        </w:tabs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  <w:tab/>
      </w:r>
      <w:r>
        <w:rPr>
          <w:rStyle w:val="UserStyle_33"/>
          <w:sz w:val="28"/>
          <w:szCs w:val="28"/>
        </w:rPr>
        <w:t xml:space="preserve">привлечение средств из вышестоящих бюджетов, в том числе в рамках государственных программ Белгородской области.</w:t>
      </w:r>
    </w:p>
    <w:p>
      <w:pPr>
        <w:pStyle w:val="UserStyle_28"/>
        <w:widowControl/>
        <w:spacing w:line="240" w:lineRule="auto"/>
        <w:ind w:firstLine="725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В долгосрочном периоде необходимо продолжать работу по повышению качества управления муниципальными финансами Грайворонского городского округа и эффективности использования бюджетных средств.</w:t>
      </w:r>
    </w:p>
    <w:p>
      <w:pPr>
        <w:pStyle w:val="UserStyle_28"/>
        <w:widowControl/>
        <w:spacing w:line="240" w:lineRule="auto"/>
        <w:ind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7. Основные подходы, цели и задачи формирования и реализации бюджетной, налоговой и долговой политики </w:t>
      </w:r>
      <w:r>
        <w:rPr>
          <w:rStyle w:val="UserStyle_33"/>
          <w:b/>
          <w:bCs/>
          <w:sz w:val="28"/>
          <w:szCs w:val="28"/>
        </w:rPr>
        <w:br/>
      </w:r>
      <w:r>
        <w:rPr>
          <w:rStyle w:val="UserStyle_33"/>
          <w:b/>
          <w:bCs/>
          <w:sz w:val="28"/>
          <w:szCs w:val="28"/>
        </w:rPr>
        <w:t xml:space="preserve">Грайворонского городского округа на долгосрочный период </w:t>
      </w:r>
    </w:p>
    <w:p>
      <w:pPr>
        <w:pStyle w:val="UserStyle_28"/>
        <w:widowControl/>
        <w:spacing w:line="240" w:lineRule="auto"/>
        <w:ind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до 202</w:t>
      </w:r>
      <w:r>
        <w:rPr>
          <w:rStyle w:val="UserStyle_33"/>
          <w:b/>
          <w:bCs/>
          <w:sz w:val="28"/>
          <w:szCs w:val="28"/>
        </w:rPr>
        <w:t xml:space="preserve">7</w:t>
      </w:r>
      <w:r>
        <w:rPr>
          <w:rStyle w:val="UserStyle_33"/>
          <w:b/>
          <w:bCs/>
          <w:sz w:val="28"/>
          <w:szCs w:val="28"/>
        </w:rPr>
        <w:t xml:space="preserve"> года</w:t>
      </w:r>
    </w:p>
    <w:p>
      <w:pPr>
        <w:pStyle w:val="UserStyle_28"/>
        <w:widowControl/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UserStyle_36"/>
          <w:sz w:val="28"/>
          <w:szCs w:val="28"/>
        </w:rPr>
        <w:t xml:space="preserve">При формировании бюджетного прогноза использовались основные показатели прогноза социально-экономического развития </w:t>
      </w:r>
      <w:r>
        <w:rPr>
          <w:sz w:val="28"/>
          <w:szCs w:val="28"/>
        </w:rPr>
        <w:t xml:space="preserve">Грайворонского городского округа на долгосрочный период.</w:t>
      </w:r>
    </w:p>
    <w:p>
      <w:pPr>
        <w:pStyle w:val="UserStyle_28"/>
        <w:widowControl/>
        <w:spacing w:line="240" w:lineRule="auto"/>
        <w:jc w:val="center"/>
        <w:rPr>
          <w:rStyle w:val="UserStyle_36"/>
          <w:sz w:val="20"/>
          <w:szCs w:val="20"/>
        </w:rPr>
      </w:pPr>
      <w:r>
        <w:rPr>
          <w:rStyle w:val="UserStyle_36"/>
          <w:sz w:val="20"/>
          <w:szCs w:val="20"/>
        </w:rPr>
      </w:r>
    </w:p>
    <w:p>
      <w:pPr>
        <w:pStyle w:val="UserStyle_28"/>
        <w:widowControl/>
        <w:spacing w:line="240" w:lineRule="auto"/>
        <w:ind w:firstLine="0"/>
        <w:jc w:val="center"/>
        <w:rPr>
          <w:rStyle w:val="UserStyle_33"/>
          <w:b/>
          <w:sz w:val="28"/>
          <w:szCs w:val="28"/>
        </w:rPr>
      </w:pPr>
      <w:r>
        <w:rPr>
          <w:rStyle w:val="UserStyle_36"/>
          <w:b/>
          <w:sz w:val="28"/>
          <w:szCs w:val="28"/>
        </w:rPr>
        <w:t xml:space="preserve">Направления бюджетной политики на долгосрочный период</w:t>
      </w:r>
      <w:r>
        <w:rPr>
          <w:rStyle w:val="UserStyle_33"/>
          <w:b/>
          <w:sz w:val="28"/>
          <w:szCs w:val="28"/>
        </w:rPr>
      </w:r>
    </w:p>
    <w:p>
      <w:pPr>
        <w:pStyle w:val="UserStyle_28"/>
        <w:widowControl/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Normal"/>
        <w:shd w:val="clear" w:color="auto" w:fill="ffffff"/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формирования бюджетной политики на долгосрочный период заложены следующие основные направления:</w:t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интеграция бюджетного планирования в процесс формирования долгосрочной стратегии развития округа;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соблюдение принципа формирования бюджета на основе муниципальных программ с учетом обоснования бюджетных ассигнований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этапе их формирования. Учитывать предложения по изменению форм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методов управления реализации муниципальными программами, включая предложения об уточнении объемов финансирования и показателей программ, объемов и показателей муниципальных заданий на оказание муниципальными учреждениями муниципальных услуг и работ. </w:t>
      </w:r>
      <w:r>
        <w:rPr>
          <w:color w:val="000000"/>
          <w:sz w:val="28"/>
          <w:szCs w:val="28"/>
        </w:rPr>
        <w:t xml:space="preserve">Ответственный исполнитель несет ответственность за реализацию муниципальной программы, целевое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эффективное использование средств, выделенных на реализацию муниципальной программы, обеспечение достижения значений показателей муниципальной программы;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качественное формирование муниципальных заданий для бюджетных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автономных учреждений и нормативов их финансового обеспечения;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качества жизни населения за счет совершенствования перечня и повышения качества муниципальных услуг;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повышение эффективности процедур проведения муниципальных закупок в централизованном сегменте контрактной системы;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93" w:leader="none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широкого вовлечения граждан в процедуру обсуждения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конкретных бюджетных решений, общественного контроля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эффективности и результативности.</w:t>
      </w:r>
    </w:p>
    <w:p>
      <w:pPr>
        <w:pStyle w:val="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 к формированию бюджетного прогноза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долгосрочный период определяются необходимостью сохранения сбалансированности и устойчивости бюджета, оптимизации действующих расходных обязательств, формирования и исполнения бюджета на основе муниципальных программ.</w:t>
      </w:r>
    </w:p>
    <w:p>
      <w:pPr>
        <w:pStyle w:val="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повышения эффективности оказания муниципальных услуг будет продолжена работа по созданию стимулов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более рационального и экономного использования бюджетных средств.</w:t>
      </w:r>
    </w:p>
    <w:p>
      <w:pPr>
        <w:pStyle w:val="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долгосрочном периоде сбалансированность и устойчивость бюджетной системы будет обеспечиваться за счет расширения горизонта экономического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бюджетного прогнозирования, плана мер по мобилизации доходов в бюджет округа.</w:t>
      </w:r>
    </w:p>
    <w:p>
      <w:pPr>
        <w:pStyle w:val="UserStyle_28"/>
        <w:widowControl/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Normal"/>
        <w:tabs>
          <w:tab w:val="left" w:pos="709" w:leader="none"/>
        </w:tabs>
        <w:jc w:val="center"/>
        <w:rPr>
          <w:rStyle w:val="UserStyle_36"/>
          <w:b/>
          <w:sz w:val="28"/>
          <w:szCs w:val="28"/>
        </w:rPr>
      </w:pPr>
      <w:r>
        <w:rPr>
          <w:rStyle w:val="UserStyle_36"/>
          <w:b/>
          <w:sz w:val="28"/>
          <w:szCs w:val="28"/>
        </w:rPr>
        <w:t xml:space="preserve">Направления налоговой политики на долгосрочный период</w:t>
      </w:r>
    </w:p>
    <w:p>
      <w:pPr>
        <w:pStyle w:val="Normal"/>
        <w:ind w:firstLine="709"/>
        <w:jc w:val="center"/>
      </w:pP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налоговой политики положены стратегические цели развития округа, сформулированные в соответствии с основными положениями Посланий Президента Российской Федерации Федеральному Собранию Российской Федерации, Программой повышения эффективности управления муниципальными финансами в Грайворонском городского округа и иными документами стратегического планирования.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политики Грайворонского городского округа подготовлены в соответствии с бюджетным и налоговым законодательством.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налоговой политики является определение условий, принимаемых для составления проекта бюджета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, подходов к его формированию и общего порядка разработки основных характеристик и прогнозируемых параметров бюджета.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доходов бюджета используются показатели прогноза социально-экономического развития Грайворонского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угроз несбалансированного бюджета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показатели по доходам формируются на основе «консервативного»,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то есть, наиболее реалистичного варианта макроэкономического прогноза.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в сфере налоговой политики в средней и долгосрочной перспективах является дальнейшее повышение эффективности налоговой системы.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налоговой политики должно реализовываться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проведения своевременной работы с неплательщиками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осуществления мер принудительного взыскания задолженности, сокращения теневой экономики.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в </w:t>
      </w:r>
      <w:r>
        <w:rPr>
          <w:rStyle w:val="UserStyle_33"/>
          <w:sz w:val="28"/>
          <w:szCs w:val="28"/>
        </w:rPr>
        <w:t xml:space="preserve">городском округе</w:t>
      </w:r>
      <w:r>
        <w:rPr>
          <w:sz w:val="28"/>
          <w:szCs w:val="28"/>
        </w:rPr>
        <w:t xml:space="preserve"> будет выстраиваться с учетом изменений федерального и регионального законодательства, создания стимулирующих условий по поддержке деловой активности в реальном секторе экономики, обеспечения сбалансированности бюджета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создания условий диверсификации экономики, становления и развития среднего и малого предпринимательства,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инвестиционной активности.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и приоритеты налоговой политики в городском округе в планируемом периоде будут реализованы за счет:  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наращивания налогового потенциала, модернизации экономики, улучшения инвестиционного климата, обеспечения инновационного развития;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проведения мероприятий по обеспечению роста налоговой отдачи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хозяйствующих субъектов территории и полноты учета объектов налогообложения;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совершенствования имущественного налогообложения;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проведения ежегодной оценки эффективности налоговых льгот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ставок по местным налогам;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проведения мероприятий по увеличению заработной 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легализации ее выплаты в целях обеспечения социальной защищенности работников и повышения налоговой базы;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продолжения практики согласованных действий органов местного самоуправления с федеральными органами государственной власти в части мониторинга соблюдения налогового законодательства, укрепления пла</w:t>
      </w:r>
      <w:r>
        <w:rPr>
          <w:sz w:val="28"/>
          <w:szCs w:val="28"/>
        </w:rPr>
        <w:t xml:space="preserve">тежной дисциплины и сокращения </w:t>
      </w:r>
      <w:r>
        <w:rPr>
          <w:sz w:val="28"/>
          <w:szCs w:val="28"/>
        </w:rPr>
        <w:t xml:space="preserve">задолженности по платежам в бюджет;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обеспечения высокого уровня информированности налогоплательщиков в части исполнения ими обязанности по уплате налогов.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неналоговых доходов бюджета </w:t>
      </w:r>
      <w:r>
        <w:rPr>
          <w:rStyle w:val="UserStyle_33"/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должно быть обеспечено за 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эффективного управления муниципальной собственностью, предусматривающего выявление неиспользуемых основных фондов, вовлечение максимального количества объектов муниципальной собственности в оборот хозяйствования, активизацию работы, направленной  на повышение эффективности использования природных ресурсов и на рост доходов, получаемых от их использования в виде арендных платежей.</w:t>
      </w:r>
    </w:p>
    <w:p>
      <w:pPr>
        <w:pStyle w:val="Normal"/>
        <w:ind w:firstLine="709"/>
        <w:jc w:val="both"/>
        <w:rPr>
          <w:rStyle w:val="UserStyle_33"/>
        </w:rPr>
      </w:pPr>
      <w:r>
        <w:rPr>
          <w:rStyle w:val="UserStyle_33"/>
        </w:rPr>
      </w:r>
    </w:p>
    <w:p>
      <w:pPr>
        <w:pStyle w:val="UserStyle_28"/>
        <w:spacing w:line="240" w:lineRule="auto"/>
        <w:ind w:firstLine="0"/>
        <w:jc w:val="center"/>
        <w:rPr>
          <w:rStyle w:val="UserStyle_33"/>
          <w:b/>
          <w:sz w:val="28"/>
          <w:szCs w:val="28"/>
        </w:rPr>
      </w:pPr>
      <w:r>
        <w:rPr>
          <w:rStyle w:val="UserStyle_36"/>
          <w:b/>
          <w:sz w:val="28"/>
          <w:szCs w:val="28"/>
        </w:rPr>
        <w:t xml:space="preserve">Направления долговой политики на долгосрочный период</w:t>
      </w:r>
      <w:r>
        <w:rPr>
          <w:rStyle w:val="UserStyle_33"/>
          <w:b/>
          <w:sz w:val="28"/>
          <w:szCs w:val="28"/>
        </w:rPr>
      </w:r>
    </w:p>
    <w:p>
      <w:pPr>
        <w:pStyle w:val="UserStyle_28"/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является неотъемлемой частью бюджетной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налоговой политики, непосредственно связана с бюджетным процессом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городском округе, а также определяет приоритеты и общие направления деятельности по управлению муниципальным долгом округа.</w:t>
      </w:r>
    </w:p>
    <w:p>
      <w:pPr>
        <w:pStyle w:val="UserStyle_39"/>
        <w:widowControl/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целями </w:t>
      </w:r>
      <w:r>
        <w:rPr>
          <w:rStyle w:val="UserStyle_38"/>
          <w:sz w:val="28"/>
          <w:szCs w:val="28"/>
        </w:rPr>
        <w:t xml:space="preserve">долговой политики являются: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обеспечение сбалансированности бюджета округа при безусловном выполнении принятых обязательств;</w:t>
      </w:r>
      <w:r>
        <w:rPr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соблюдение норм и ограничений, установленных Бюджетным кодексом Российской Федерации;</w:t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</w:r>
      <w:r>
        <w:rPr>
          <w:rStyle w:val="UserStyle_38"/>
          <w:sz w:val="28"/>
          <w:szCs w:val="28"/>
        </w:rPr>
        <w:tab/>
      </w:r>
      <w:r>
        <w:rPr>
          <w:rStyle w:val="UserStyle_38"/>
          <w:sz w:val="28"/>
          <w:szCs w:val="28"/>
        </w:rPr>
        <w:t xml:space="preserve">поддержание умеренной долговой нагрузки на бюджет;</w:t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своевременное исполнение долговых обязательств;</w:t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</w:r>
      <w:r>
        <w:rPr>
          <w:rStyle w:val="UserStyle_38"/>
          <w:sz w:val="28"/>
          <w:szCs w:val="28"/>
        </w:rPr>
        <w:tab/>
      </w:r>
      <w:r>
        <w:rPr>
          <w:rStyle w:val="UserStyle_38"/>
          <w:sz w:val="28"/>
          <w:szCs w:val="28"/>
        </w:rPr>
        <w:t xml:space="preserve">обеспечение прозрачности процессов управления муниципальным долгом.</w:t>
      </w:r>
    </w:p>
    <w:p>
      <w:pPr>
        <w:pStyle w:val="UserStyle_39"/>
        <w:widowControl/>
        <w:spacing w:line="240" w:lineRule="auto"/>
        <w:ind w:firstLine="851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Реализация долговой политики направлена на решение следующих задач:</w:t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поддержание величины муниципального долга на экономически безопасном уровне;</w:t>
      </w:r>
      <w:r>
        <w:rPr>
          <w:rStyle w:val="UserStyle_38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равномерное распределение долговой нагрузки на бюджет округа </w:t>
      </w:r>
      <w:r>
        <w:rPr>
          <w:rStyle w:val="UserStyle_38"/>
          <w:sz w:val="28"/>
          <w:szCs w:val="28"/>
        </w:rPr>
        <w:br/>
      </w:r>
      <w:r>
        <w:rPr>
          <w:rStyle w:val="UserStyle_38"/>
          <w:sz w:val="28"/>
          <w:szCs w:val="28"/>
        </w:rPr>
        <w:t xml:space="preserve">во времени;</w:t>
      </w:r>
      <w:r>
        <w:rPr>
          <w:rStyle w:val="UserStyle_38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минимизация стоимости заимствований;</w:t>
      </w:r>
      <w:r>
        <w:rPr>
          <w:rStyle w:val="UserStyle_38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  <w:tab/>
      </w:r>
      <w:r>
        <w:rPr>
          <w:rStyle w:val="UserStyle_38"/>
          <w:sz w:val="28"/>
          <w:szCs w:val="28"/>
        </w:rPr>
        <w:t xml:space="preserve">сохранение репутации округа как надежного заемщика, безупречно </w:t>
      </w:r>
      <w:r>
        <w:rPr>
          <w:rStyle w:val="UserStyle_38"/>
          <w:sz w:val="28"/>
          <w:szCs w:val="28"/>
        </w:rPr>
        <w:br/>
      </w:r>
      <w:r>
        <w:rPr>
          <w:rStyle w:val="UserStyle_38"/>
          <w:sz w:val="28"/>
          <w:szCs w:val="28"/>
        </w:rPr>
        <w:t xml:space="preserve">и своевременно выполняющего финансовые обязательства;</w:t>
      </w:r>
      <w:r>
        <w:rPr>
          <w:rStyle w:val="UserStyle_38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</w:r>
      <w:r>
        <w:rPr>
          <w:rStyle w:val="UserStyle_38"/>
          <w:sz w:val="28"/>
          <w:szCs w:val="28"/>
        </w:rPr>
        <w:tab/>
      </w:r>
      <w:r>
        <w:rPr>
          <w:rStyle w:val="UserStyle_38"/>
          <w:sz w:val="28"/>
          <w:szCs w:val="28"/>
        </w:rPr>
        <w:t xml:space="preserve">гибкое реагирование на изменяющиеся условия финансовых рынков </w:t>
      </w:r>
      <w:r>
        <w:rPr>
          <w:rStyle w:val="UserStyle_38"/>
          <w:sz w:val="28"/>
          <w:szCs w:val="28"/>
        </w:rPr>
        <w:br/>
      </w:r>
      <w:r>
        <w:rPr>
          <w:rStyle w:val="UserStyle_38"/>
          <w:sz w:val="28"/>
          <w:szCs w:val="28"/>
        </w:rPr>
        <w:t xml:space="preserve">и использование наиболее благоприятных форм заимствований;</w:t>
      </w:r>
      <w:r>
        <w:rPr>
          <w:rStyle w:val="UserStyle_38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ind w:firstLine="709"/>
        <w:rPr>
          <w:rStyle w:val="UserStyle_38"/>
          <w:sz w:val="28"/>
          <w:szCs w:val="28"/>
        </w:rPr>
      </w:pPr>
      <w:r>
        <w:rPr>
          <w:rStyle w:val="UserStyle_38"/>
          <w:sz w:val="28"/>
          <w:szCs w:val="28"/>
        </w:rPr>
        <w:t xml:space="preserve">-</w:t>
      </w:r>
      <w:r>
        <w:rPr>
          <w:rStyle w:val="UserStyle_38"/>
          <w:sz w:val="28"/>
          <w:szCs w:val="28"/>
        </w:rPr>
        <w:tab/>
      </w:r>
      <w:r>
        <w:rPr>
          <w:rStyle w:val="UserStyle_38"/>
          <w:sz w:val="28"/>
          <w:szCs w:val="28"/>
        </w:rPr>
        <w:t xml:space="preserve">принятие новых долговых обязательств исходя из принципа исполнения всех обязательств, своевременно и в полном объеме, а также </w:t>
      </w:r>
      <w:r>
        <w:rPr>
          <w:rStyle w:val="UserStyle_38"/>
          <w:sz w:val="28"/>
          <w:szCs w:val="28"/>
        </w:rPr>
        <w:br/>
      </w:r>
      <w:r>
        <w:rPr>
          <w:rStyle w:val="UserStyle_38"/>
          <w:sz w:val="28"/>
          <w:szCs w:val="28"/>
        </w:rPr>
        <w:t xml:space="preserve">из результатов исполнения бюджета округа;</w:t>
      </w:r>
    </w:p>
    <w:p>
      <w:pPr>
        <w:pStyle w:val="UserStyle_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мероприятиями долговой политики являются:</w:t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Style w:val="UserStyle_33"/>
          <w:sz w:val="28"/>
          <w:szCs w:val="28"/>
        </w:rPr>
      </w:pPr>
      <w:r>
        <w:rPr>
          <w:rStyle w:val="UserStyle_41"/>
          <w:sz w:val="28"/>
          <w:szCs w:val="28"/>
        </w:rPr>
        <w:t xml:space="preserve">-</w:t>
      </w:r>
      <w:r>
        <w:rPr>
          <w:rStyle w:val="UserStyle_41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мобилизация доходов в бюджет с целью снижения удельного веса объема муниципального долга в объеме доходов бюджета без учета безвозмездных поступлений;</w:t>
      </w:r>
      <w:r>
        <w:rPr>
          <w:rStyle w:val="UserStyle_33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оптимизация расходных обязательств с целью снижения дефицита бюджета Грайворонского городского округа и уменьшения потребности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муниципальных заимствованиях;</w:t>
      </w:r>
      <w:r>
        <w:rPr>
          <w:rStyle w:val="UserStyle_33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Style w:val="UserStyle_33"/>
          <w:sz w:val="28"/>
          <w:szCs w:val="28"/>
        </w:rPr>
        <w:t xml:space="preserve">планирование расходов на обслуживание муниципального долга Грайворонского городского округа в объеме не выше 10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Style w:val="UserStyle_33"/>
          <w:sz w:val="28"/>
          <w:szCs w:val="28"/>
        </w:rPr>
        <w:t xml:space="preserve">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от утвержденной общей суммы расходов бюджета округа за исключением расходов, которые осуществляются за счет субвенций, предоставляемых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из бюджетов бюджетной системы Российской Федерации;</w:t>
      </w:r>
      <w:r>
        <w:rPr>
          <w:rStyle w:val="UserStyle_33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Style w:val="UserStyle_41"/>
          <w:sz w:val="28"/>
          <w:szCs w:val="28"/>
        </w:rPr>
      </w:pPr>
      <w:r>
        <w:rPr>
          <w:rStyle w:val="UserStyle_33"/>
          <w:sz w:val="28"/>
          <w:szCs w:val="28"/>
        </w:rPr>
        <w:t xml:space="preserve">-</w:t>
      </w:r>
      <w:r>
        <w:rPr>
          <w:rStyle w:val="UserStyle_3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гибкое реагирование на изменяющиеся условия финансовых рынков, </w:t>
      </w:r>
      <w:r>
        <w:rPr>
          <w:rStyle w:val="UserStyle_33"/>
          <w:sz w:val="28"/>
          <w:szCs w:val="28"/>
        </w:rPr>
        <w:t xml:space="preserve">проведение мониторинга процентных ставок по кредитам, привлекаемым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бюджеты б</w:t>
      </w:r>
      <w:r>
        <w:rPr>
          <w:rStyle w:val="UserStyle_41"/>
          <w:sz w:val="28"/>
          <w:szCs w:val="28"/>
        </w:rPr>
        <w:t xml:space="preserve">юджетной системы;</w:t>
      </w:r>
      <w:r>
        <w:rPr>
          <w:rStyle w:val="UserStyle_41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учет информации о муниципальном долге округа, формирование отчетности о муниципальных долговых обязательствах округа;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39"/>
        <w:widowControl/>
        <w:tabs>
          <w:tab w:val="left" w:pos="993" w:leader="none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своевременное и полное исполнение долговых обязательств округа.</w:t>
      </w:r>
    </w:p>
    <w:p>
      <w:pPr>
        <w:pStyle w:val="UserStyle_28"/>
        <w:widowControl/>
        <w:spacing w:line="240" w:lineRule="auto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28"/>
        <w:widowControl/>
        <w:spacing w:line="240" w:lineRule="auto"/>
        <w:ind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8. Подходы к прогнозированию и показатели финансового</w:t>
      </w:r>
      <w:r>
        <w:rPr>
          <w:rStyle w:val="UserStyle_33"/>
          <w:b/>
          <w:bCs/>
          <w:sz w:val="28"/>
          <w:szCs w:val="28"/>
        </w:rPr>
        <w:t xml:space="preserve"> </w:t>
      </w:r>
      <w:r>
        <w:rPr>
          <w:rStyle w:val="UserStyle_33"/>
          <w:b/>
          <w:bCs/>
          <w:sz w:val="28"/>
          <w:szCs w:val="28"/>
        </w:rPr>
        <w:t xml:space="preserve">обеспечения муниципальных программ </w:t>
      </w:r>
    </w:p>
    <w:p>
      <w:pPr>
        <w:pStyle w:val="UserStyle_28"/>
        <w:widowControl/>
        <w:spacing w:line="240" w:lineRule="auto"/>
        <w:ind w:right="708" w:firstLine="0"/>
        <w:jc w:val="center"/>
        <w:rPr>
          <w:rStyle w:val="UserStyle_33"/>
          <w:b/>
          <w:bCs/>
          <w:sz w:val="28"/>
          <w:szCs w:val="28"/>
        </w:rPr>
      </w:pPr>
      <w:r>
        <w:rPr>
          <w:rStyle w:val="UserStyle_33"/>
          <w:b/>
          <w:bCs/>
          <w:sz w:val="28"/>
          <w:szCs w:val="28"/>
        </w:rPr>
        <w:t xml:space="preserve">Грайворонского городского округа</w:t>
      </w:r>
    </w:p>
    <w:p>
      <w:pPr>
        <w:pStyle w:val="UserStyle_28"/>
        <w:widowControl/>
        <w:spacing w:line="240" w:lineRule="auto"/>
        <w:jc w:val="center"/>
        <w:rPr>
          <w:rStyle w:val="UserStyle_33"/>
          <w:sz w:val="20"/>
          <w:szCs w:val="20"/>
        </w:rPr>
      </w:pPr>
      <w:r>
        <w:rPr>
          <w:rStyle w:val="UserStyle_33"/>
          <w:sz w:val="20"/>
          <w:szCs w:val="20"/>
        </w:rPr>
      </w:r>
    </w:p>
    <w:p>
      <w:pPr>
        <w:pStyle w:val="UserStyle_3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Бюджетный прогноз сформирован на основе утвержденных 14 муниципальных программ, охватывающих все основные сферы (направления) деятельности органов местного самоуправления.</w:t>
      </w:r>
    </w:p>
    <w:p>
      <w:pPr>
        <w:pStyle w:val="UserStyle_3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Сформированные предельные объемы бюджетных ассигнований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доводятся до их ответственных исполнителей, которые совместно с соисполнителями и участниками муниципальных программ на последующих этапах должны осуществить распределение указанных предельных объемов по конкретным мероприятиям муниципальных программ (кодам бюджетной классификации). Таким образом, ответственные исполнители могут уточнить подходы к определению параметров финансового обеспечения конкретных мероприятий, самостоятельно определять расходные приоритеты в рамках соответствующих муниципальных программ, неся ответственность за достижение целевых индикаторов и ожидаемых результатов их реализации.</w:t>
      </w:r>
    </w:p>
    <w:p>
      <w:pPr>
        <w:pStyle w:val="UserStyle_32"/>
        <w:widowControl/>
        <w:spacing w:line="240" w:lineRule="auto"/>
        <w:ind w:firstLine="709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</w:r>
    </w:p>
    <w:p>
      <w:pPr>
        <w:pStyle w:val="UserStyle_32"/>
        <w:widowControl/>
        <w:spacing w:line="240" w:lineRule="auto"/>
        <w:ind w:firstLine="709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Направления и мероприятия социально-экономической политики, реализуемые в рамках муниципальных программ округа, должны иметь надежное финансовое обеспечение. При обеспечении сбалансированности бюджета городского округа в долгосрочном периоде должны быть определены объемы финансовых ресурсов, необходимые для достижения конкретных целей и количественно определенных результатов.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 округа с учетом финансового положения бюджета </w:t>
      </w:r>
      <w:r>
        <w:rPr>
          <w:rStyle w:val="UserStyle_33"/>
          <w:sz w:val="28"/>
          <w:szCs w:val="28"/>
        </w:rPr>
        <w:br/>
      </w:r>
      <w:r>
        <w:rPr>
          <w:rStyle w:val="UserStyle_33"/>
          <w:sz w:val="28"/>
          <w:szCs w:val="28"/>
        </w:rPr>
        <w:t xml:space="preserve">в целом.</w:t>
      </w:r>
    </w:p>
    <w:p>
      <w:pPr>
        <w:pStyle w:val="UserStyle_32"/>
        <w:widowControl/>
        <w:spacing w:line="240" w:lineRule="auto"/>
        <w:ind w:firstLine="709"/>
        <w:rPr>
          <w:rStyle w:val="UserStyle_33"/>
          <w:sz w:val="28"/>
          <w:szCs w:val="28"/>
        </w:rPr>
      </w:pPr>
      <w:r>
        <w:rPr>
          <w:rStyle w:val="UserStyle_33"/>
          <w:sz w:val="28"/>
          <w:szCs w:val="28"/>
        </w:rPr>
        <w:t xml:space="preserve"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округа.</w:t>
      </w:r>
    </w:p>
    <w:p>
      <w:pPr>
        <w:pStyle w:val="Normal"/>
      </w:pPr>
      <w:r>
        <w:br w:type="page"/>
      </w: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</w:t>
      </w: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бюджетному прогноз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Грайворонского городского округа                      на долгосрочный период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 2027 года</w:t>
      </w:r>
    </w:p>
    <w:p>
      <w:pPr>
        <w:pStyle w:val="Normal"/>
      </w:pP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прогноза социально-экономического развития Грайворонского городского округа на период до 2027 года</w:t>
      </w:r>
      <w:r>
        <w:rPr>
          <w:bCs/>
          <w:i/>
          <w:sz w:val="28"/>
          <w:szCs w:val="28"/>
        </w:rPr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Cs/>
          <w:i/>
          <w:sz w:val="16"/>
          <w:szCs w:val="16"/>
        </w:rPr>
        <w:t xml:space="preserve">    </w:t>
      </w:r>
      <w:r>
        <w:rPr>
          <w:b/>
          <w:bCs/>
          <w:sz w:val="26"/>
          <w:szCs w:val="26"/>
        </w:rPr>
        <w:tab/>
      </w:r>
    </w:p>
    <w:tbl>
      <w:tblPr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16"/>
        <w:gridCol w:w="766"/>
        <w:gridCol w:w="766"/>
        <w:gridCol w:w="766"/>
        <w:gridCol w:w="994"/>
        <w:gridCol w:w="994"/>
        <w:gridCol w:w="979"/>
        <w:gridCol w:w="315"/>
        <w:gridCol w:w="660"/>
        <w:gridCol w:w="975"/>
        <w:gridCol w:w="766"/>
      </w:tblGrid>
      <w:tr>
        <w:trPr>
          <w:cantSplit/>
          <w:trHeight w:val="62"/>
        </w:trPr>
        <w:tc>
          <w:tcPr>
            <w:tcW w:w="1716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</w:t>
            </w:r>
          </w:p>
        </w:tc>
        <w:tc>
          <w:tcPr>
            <w:tcW w:w="766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                год</w:t>
            </w:r>
          </w:p>
        </w:tc>
        <w:tc>
          <w:tcPr>
            <w:tcW w:w="766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              год</w:t>
            </w:r>
          </w:p>
        </w:tc>
        <w:tc>
          <w:tcPr>
            <w:tcW w:w="766" w:type="dxa"/>
            <w:vMerge w:val="restart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               год</w:t>
            </w:r>
          </w:p>
        </w:tc>
        <w:tc>
          <w:tcPr>
            <w:tcW w:w="2967" w:type="dxa"/>
            <w:gridSpan w:val="3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Прогнозный период</w:t>
            </w:r>
          </w:p>
        </w:tc>
      </w:tr>
      <w:tr>
        <w:trPr>
          <w:cantSplit/>
          <w:trHeight w:val="392"/>
        </w:trPr>
        <w:tc>
          <w:tcPr>
            <w:tcW w:w="1716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6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6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6" w:type="dxa"/>
            <w:vMerge w:val="continue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4" w:type="dxa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                год</w:t>
            </w:r>
          </w:p>
        </w:tc>
        <w:tc>
          <w:tcPr>
            <w:tcW w:w="99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              год</w:t>
            </w:r>
          </w:p>
        </w:tc>
        <w:tc>
          <w:tcPr>
            <w:tcW w:w="97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              год</w:t>
            </w:r>
          </w:p>
        </w:tc>
        <w:tc>
          <w:tcPr>
            <w:tcW w:w="975" w:type="dxa"/>
            <w:gridSpan w:val="2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               год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2026                  год</w:t>
            </w:r>
          </w:p>
        </w:tc>
        <w:tc>
          <w:tcPr>
            <w:tcW w:w="76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2027 год</w:t>
            </w:r>
          </w:p>
        </w:tc>
      </w:tr>
      <w:tr>
        <w:trPr>
          <w:trHeight w:val="571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Численность населения (среднегодовая), тыс. человек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29,7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29,6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30,01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30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29,9</w:t>
            </w:r>
          </w:p>
        </w:tc>
        <w:tc>
          <w:tcPr>
            <w:tcW w:w="979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29,8</w:t>
            </w:r>
          </w:p>
        </w:tc>
        <w:tc>
          <w:tcPr>
            <w:tcW w:w="975" w:type="dxa"/>
            <w:gridSpan w:val="2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29,7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29,60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29,6</w:t>
            </w:r>
          </w:p>
        </w:tc>
      </w:tr>
      <w:tr>
        <w:trPr>
          <w:trHeight w:val="977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Индекс потребительских цен на товары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и услуги (среднегодовой), в % </w:t>
            </w:r>
            <w:r>
              <w:rPr>
                <w:bCs/>
              </w:rPr>
              <w:br/>
            </w:r>
            <w:r>
              <w:rPr>
                <w:bCs/>
              </w:rPr>
              <w:t xml:space="preserve">к предыдущему году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4,5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3,4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5,2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3,8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4,0</w:t>
            </w:r>
          </w:p>
        </w:tc>
        <w:tc>
          <w:tcPr>
            <w:tcW w:w="979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4,0</w:t>
            </w:r>
          </w:p>
        </w:tc>
        <w:tc>
          <w:tcPr>
            <w:tcW w:w="975" w:type="dxa"/>
            <w:gridSpan w:val="2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4,0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4,0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</w:tr>
      <w:tr>
        <w:trPr>
          <w:trHeight w:val="990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Среднесписочная численность работников организаций, всего,                              тыс. человек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6,9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6,62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6,61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6,61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6,60</w:t>
            </w:r>
          </w:p>
        </w:tc>
        <w:tc>
          <w:tcPr>
            <w:tcW w:w="979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6,60</w:t>
            </w:r>
          </w:p>
        </w:tc>
        <w:tc>
          <w:tcPr>
            <w:tcW w:w="975" w:type="dxa"/>
            <w:gridSpan w:val="2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6,70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6,80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6,80</w:t>
            </w:r>
          </w:p>
        </w:tc>
      </w:tr>
      <w:tr>
        <w:trPr>
          <w:trHeight w:val="976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Фонд начисленной заработной платы работников организаций, всего,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млн рублей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2331,5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2396,6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2564,4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2700,0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2850</w:t>
            </w:r>
          </w:p>
        </w:tc>
        <w:tc>
          <w:tcPr>
            <w:tcW w:w="979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2990,</w:t>
            </w:r>
          </w:p>
        </w:tc>
        <w:tc>
          <w:tcPr>
            <w:tcW w:w="975" w:type="dxa"/>
            <w:gridSpan w:val="2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3150,0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3300,0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3470,0</w:t>
            </w:r>
          </w:p>
        </w:tc>
      </w:tr>
      <w:tr>
        <w:trPr>
          <w:trHeight w:val="976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Среднемесячная  номинальная начисленная заработная плата работников организаций, рублей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28158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30093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32330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34039</w:t>
            </w:r>
          </w:p>
        </w:tc>
        <w:tc>
          <w:tcPr>
            <w:tcW w:w="994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35985</w:t>
            </w:r>
          </w:p>
        </w:tc>
        <w:tc>
          <w:tcPr>
            <w:tcW w:w="979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37753</w:t>
            </w:r>
          </w:p>
        </w:tc>
        <w:tc>
          <w:tcPr>
            <w:tcW w:w="975" w:type="dxa"/>
            <w:gridSpan w:val="2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39179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40441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42525</w:t>
            </w:r>
          </w:p>
        </w:tc>
      </w:tr>
      <w:tr>
        <w:trPr>
          <w:trHeight w:val="707"/>
        </w:trPr>
        <w:tc>
          <w:tcPr>
            <w:tcW w:w="17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Величина прожиточного минимума в расчете на душу населения, рублей</w:t>
            </w:r>
          </w:p>
        </w:tc>
        <w:tc>
          <w:tcPr>
            <w:tcW w:w="766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8338</w:t>
            </w:r>
          </w:p>
        </w:tc>
        <w:tc>
          <w:tcPr>
            <w:tcW w:w="766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9125</w:t>
            </w:r>
          </w:p>
        </w:tc>
        <w:tc>
          <w:tcPr>
            <w:tcW w:w="766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9720</w:t>
            </w:r>
          </w:p>
        </w:tc>
        <w:tc>
          <w:tcPr>
            <w:tcW w:w="994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10629</w:t>
            </w:r>
          </w:p>
        </w:tc>
        <w:tc>
          <w:tcPr>
            <w:tcW w:w="994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11350</w:t>
            </w:r>
          </w:p>
        </w:tc>
        <w:tc>
          <w:tcPr>
            <w:tcW w:w="979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12144</w:t>
            </w:r>
          </w:p>
        </w:tc>
        <w:tc>
          <w:tcPr>
            <w:tcW w:w="975" w:type="dxa"/>
            <w:gridSpan w:val="2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12875</w:t>
            </w:r>
          </w:p>
        </w:tc>
        <w:tc>
          <w:tcPr>
            <w:tcW w:w="975" w:type="dxa"/>
            <w:noWrap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13650</w:t>
            </w:r>
          </w:p>
        </w:tc>
        <w:tc>
          <w:tcPr>
            <w:tcW w:w="766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14470</w:t>
            </w:r>
          </w:p>
        </w:tc>
      </w:tr>
    </w:tbl>
    <w:p>
      <w:pPr>
        <w:pStyle w:val="Normal"/>
      </w:pP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 xml:space="preserve">Приложение №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</w: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бюджетному прогноз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Грайворонского городского округа                      на долгосрочный период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 2027 года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параметры  бюджета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Грайворонского городского округа на долгосрочный период</w:t>
      </w: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left="-851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Cs/>
          <w:color w:val="000000"/>
          <w:sz w:val="28"/>
          <w:szCs w:val="28"/>
        </w:rPr>
        <w:t xml:space="preserve">тыс. рублей</w:t>
        <w:tab/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42"/>
        <w:gridCol w:w="830"/>
        <w:gridCol w:w="1016"/>
        <w:gridCol w:w="913"/>
        <w:gridCol w:w="875"/>
        <w:gridCol w:w="842"/>
        <w:gridCol w:w="862"/>
        <w:gridCol w:w="838"/>
        <w:gridCol w:w="938"/>
      </w:tblGrid>
      <w:tr>
        <w:trPr>
          <w:cantSplit/>
          <w:trHeight w:val="939"/>
        </w:trPr>
        <w:tc>
          <w:tcPr>
            <w:tcW w:w="2242" w:type="dxa"/>
            <w:vMerge w:val="restart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</w:t>
            </w:r>
          </w:p>
        </w:tc>
        <w:tc>
          <w:tcPr>
            <w:tcW w:w="830" w:type="dxa"/>
            <w:vMerge w:val="restart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год</w:t>
            </w:r>
          </w:p>
        </w:tc>
        <w:tc>
          <w:tcPr>
            <w:tcW w:w="1016" w:type="dxa"/>
            <w:vMerge w:val="restart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2630" w:type="dxa"/>
            <w:gridSpan w:val="3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</w:t>
            </w:r>
          </w:p>
        </w:tc>
        <w:tc>
          <w:tcPr>
            <w:tcW w:w="2638" w:type="dxa"/>
            <w:gridSpan w:val="3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Прогнозный период</w:t>
            </w:r>
          </w:p>
        </w:tc>
      </w:tr>
      <w:tr>
        <w:trPr>
          <w:cantSplit/>
          <w:trHeight w:val="148"/>
        </w:trPr>
        <w:tc>
          <w:tcPr>
            <w:tcW w:w="2242" w:type="dxa"/>
            <w:vMerge w:val="continue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30" w:type="dxa"/>
            <w:vMerge w:val="continue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6" w:type="dxa"/>
            <w:vMerge w:val="continue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875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842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62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838" w:type="dxa"/>
            <w:textDirection w:val="lrTb"/>
            <w:vAlign w:val="center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2026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2027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ind w:left="-100" w:right="-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</w:tr>
      <w:tr>
        <w:trPr>
          <w:trHeight w:val="268"/>
        </w:trPr>
        <w:tc>
          <w:tcPr>
            <w:tcW w:w="9356" w:type="dxa"/>
            <w:gridSpan w:val="9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городского округа</w:t>
            </w:r>
          </w:p>
        </w:tc>
      </w:tr>
      <w:tr>
        <w:trPr>
          <w:trHeight w:val="540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1. Доходы, всего, в т.ч.: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1 538 568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1 768 045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2 159 771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1 637 973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1 630 016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1 646 403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1 663 282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1 680 667</w:t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1.1. Налоговые доходы: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397 404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442 524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467 592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499 666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533 886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549 902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566 399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583 391</w:t>
            </w:r>
          </w:p>
        </w:tc>
      </w:tr>
      <w:tr>
        <w:trPr>
          <w:trHeight w:val="360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налог на доходы физических лиц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314 891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358 001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378 037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408 280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440 942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462 989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486 138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510 445</w:t>
            </w:r>
          </w:p>
        </w:tc>
      </w:tr>
      <w:tr>
        <w:trPr>
          <w:trHeight w:val="186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1.2.Неналоговые доходы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14 406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18 807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12 105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12 218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12 353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12 724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13 106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13 499</w:t>
            </w:r>
          </w:p>
        </w:tc>
      </w:tr>
      <w:tr>
        <w:trPr>
          <w:trHeight w:val="278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1.3. Безвозмездные поступления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1 127 656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1 307 716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1 680 074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1 126 089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1 083 777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1 083 777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1 083 777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102" w:right="-88"/>
              <w:jc w:val="center"/>
              <w:rPr>
                <w:bCs/>
              </w:rPr>
            </w:pPr>
            <w:r>
              <w:rPr>
                <w:bCs/>
              </w:rPr>
              <w:t xml:space="preserve">1 083 777</w:t>
            </w:r>
          </w:p>
        </w:tc>
      </w:tr>
      <w:tr>
        <w:trPr>
          <w:trHeight w:val="264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 том числе: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дотации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155"/>
              <w:jc w:val="center"/>
              <w:rPr>
                <w:bCs/>
              </w:rPr>
            </w:pPr>
            <w:r>
              <w:rPr>
                <w:bCs/>
              </w:rPr>
              <w:t xml:space="preserve">228 688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244 929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300 296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239 627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227 646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227 646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227 646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227 646</w:t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субсидии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155"/>
              <w:jc w:val="center"/>
              <w:rPr>
                <w:bCs/>
              </w:rPr>
            </w:pPr>
            <w:r>
              <w:rPr>
                <w:bCs/>
              </w:rPr>
              <w:t xml:space="preserve">294 709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349 990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644 648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133 071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69 325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69 325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69 325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69 325</w:t>
            </w:r>
          </w:p>
        </w:tc>
      </w:tr>
      <w:tr>
        <w:trPr>
          <w:trHeight w:val="9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субвенции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155"/>
              <w:jc w:val="center"/>
              <w:rPr>
                <w:bCs/>
              </w:rPr>
            </w:pPr>
            <w:r>
              <w:rPr>
                <w:bCs/>
              </w:rPr>
              <w:t xml:space="preserve">589 148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683 301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720 130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753 391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786 806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786 806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53"/>
              <w:jc w:val="center"/>
              <w:rPr>
                <w:bCs/>
              </w:rPr>
            </w:pPr>
            <w:r>
              <w:rPr>
                <w:bCs/>
              </w:rPr>
              <w:t xml:space="preserve">786 806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786 806</w:t>
            </w:r>
          </w:p>
        </w:tc>
      </w:tr>
      <w:tr>
        <w:trPr>
          <w:trHeight w:val="311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иные межбюджетные трансферты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15111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28596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15000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</w:tr>
      <w:tr>
        <w:trPr>
          <w:trHeight w:val="151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Прочие безвозмездные поступления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900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</w:tr>
      <w:tr>
        <w:trPr>
          <w:trHeight w:val="687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Возврат остатков субсидий, субвенций и иных межбюджетных трансфертов прошлых лет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-898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-1002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</w:tr>
      <w:tr>
        <w:trPr>
          <w:trHeight w:val="624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2. Расходы, всего, в т.ч.: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1 528 581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1 775 655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2 159 771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1 637 973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1 630 015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1 646 403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1 663 282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1 680 667</w:t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2.1. Процентные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2.2. Межбюджетные трансферты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883 857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1  061472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1 379 778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886 462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856 131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856 131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856 131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856 131</w:t>
            </w:r>
          </w:p>
        </w:tc>
      </w:tr>
      <w:tr>
        <w:trPr>
          <w:trHeight w:val="624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2.3. Непроцентные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(без межбюджетных трансфертов)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644 727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714 183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779 993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751 511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773 883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790 272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807 151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824 536</w:t>
            </w:r>
          </w:p>
        </w:tc>
      </w:tr>
      <w:tr>
        <w:trPr>
          <w:trHeight w:val="312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3. Дефицит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(-)/профицит (+)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9 987</w:t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-7 610</w:t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</w:t>
            </w:r>
          </w:p>
        </w:tc>
      </w:tr>
      <w:tr>
        <w:trPr>
          <w:trHeight w:val="624"/>
        </w:trPr>
        <w:tc>
          <w:tcPr>
            <w:tcW w:w="22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4. Муниципальный  долг Грайворонского городского округа</w:t>
            </w:r>
          </w:p>
        </w:tc>
        <w:tc>
          <w:tcPr>
            <w:tcW w:w="83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16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5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6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3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</w:pP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 xml:space="preserve">Приложение №3</w:t>
      </w:r>
      <w:r>
        <w:rPr>
          <w:b/>
          <w:sz w:val="28"/>
          <w:szCs w:val="28"/>
        </w:rPr>
      </w:r>
    </w:p>
    <w:p>
      <w:pPr>
        <w:pStyle w:val="Normal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бюджетному прогноз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Грайворонского городского округа                      на долгосрочный период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 2027 года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параметры бюджета Грайворонского городского округа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на долгосрочный период в соответствии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с функциональной структурой расходов</w:t>
      </w: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         </w:t>
      </w:r>
      <w:r>
        <w:rPr>
          <w:bCs/>
          <w:color w:val="000000"/>
          <w:sz w:val="24"/>
          <w:szCs w:val="24"/>
        </w:rPr>
        <w:t xml:space="preserve">тыс. рублей</w:t>
      </w:r>
    </w:p>
    <w:tbl>
      <w:tblPr>
        <w:tblW w:w="976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709"/>
        <w:gridCol w:w="708"/>
        <w:gridCol w:w="887"/>
        <w:gridCol w:w="814"/>
        <w:gridCol w:w="993"/>
        <w:gridCol w:w="919"/>
        <w:gridCol w:w="477"/>
      </w:tblGrid>
      <w:tr>
        <w:trPr>
          <w:cantSplit/>
          <w:trHeight w:val="179"/>
        </w:trPr>
        <w:tc>
          <w:tcPr>
            <w:tcW w:w="2410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</w:t>
            </w:r>
          </w:p>
        </w:tc>
        <w:tc>
          <w:tcPr>
            <w:tcW w:w="992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851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год</w:t>
            </w:r>
          </w:p>
        </w:tc>
        <w:tc>
          <w:tcPr>
            <w:tcW w:w="2304" w:type="dxa"/>
            <w:gridSpan w:val="3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-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Прогнозный период</w:t>
            </w:r>
          </w:p>
        </w:tc>
        <w:tc>
          <w:tcPr>
            <w:tcW w:w="477" w:type="dxa"/>
            <w:vMerge w:val="restart"/>
            <w:tcBorders>
              <w:top w:val="none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495"/>
        </w:trPr>
        <w:tc>
          <w:tcPr>
            <w:tcW w:w="2410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1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год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год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 год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2026 </w:t>
            </w: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</w:t>
            </w:r>
          </w:p>
        </w:tc>
        <w:tc>
          <w:tcPr>
            <w:tcW w:w="91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2027 год</w:t>
            </w:r>
            <w:bookmarkEnd w:id="0"/>
            <w:r>
              <w:rPr>
                <w:b/>
                <w:bCs/>
              </w:rPr>
            </w:r>
          </w:p>
        </w:tc>
        <w:tc>
          <w:tcPr>
            <w:tcW w:w="477" w:type="dxa"/>
            <w:vMerge w:val="continue"/>
            <w:tcBorders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6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Общегосударственные вопросы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100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104 402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121 571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117 202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135 184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119 315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110 040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110 040</w:t>
            </w:r>
          </w:p>
        </w:tc>
        <w:tc>
          <w:tcPr>
            <w:tcW w:w="477" w:type="dxa"/>
            <w:vMerge w:val="restart"/>
            <w:tcBorders>
              <w:top w:val="none"/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left="-560" w:firstLine="56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413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Национальная оборона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1 963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2 256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2 310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1 225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1 328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2 362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2 598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2 598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624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Национальная безопасность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 правоохранительная  деятельность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8 220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9 454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11 561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8 363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8 586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6 029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6 089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6 089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Национальная экономика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161 227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209 569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128 191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125 027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119 352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81 004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81 814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81 814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624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Жилищно-коммунальное хозяйство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150 713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130 241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258 285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99 746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65 646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162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028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154 615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172 000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Охрана окружающей среды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511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4 723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29 885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592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614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592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598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598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Образование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664 869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807 097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963 154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780 921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738 405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736 718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771 616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771 616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cantSplit/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Культура, кинематография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130 137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169 139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341 812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168 450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195 010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192 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656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176 803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176 803</w:t>
            </w:r>
          </w:p>
        </w:tc>
        <w:tc>
          <w:tcPr>
            <w:tcW w:w="477" w:type="dxa"/>
            <w:vMerge w:val="continue"/>
            <w:tcBorders>
              <w:left w:val="single" w:color="000000" w:sz="4" w:space="0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312"/>
        </w:trPr>
        <w:tc>
          <w:tcPr>
            <w:tcW w:w="2410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Здравоохранение</w:t>
            </w:r>
          </w:p>
        </w:tc>
        <w:tc>
          <w:tcPr>
            <w:tcW w:w="992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1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14 605</w:t>
            </w:r>
          </w:p>
        </w:tc>
        <w:tc>
          <w:tcPr>
            <w:tcW w:w="709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8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87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14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3" w:type="dxa"/>
            <w:tcBorders>
              <w:top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9" w:type="dxa"/>
            <w:tcBorders>
              <w:top w:val="none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Социальная политика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243 668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275 578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245 721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258 173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266 835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292 464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295 364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295 364</w:t>
            </w:r>
          </w:p>
        </w:tc>
      </w:tr>
      <w:tr>
        <w:trPr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  <w:r>
              <w:rPr>
                <w:bCs/>
              </w:rPr>
            </w:r>
          </w:p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 спорт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65 917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47 026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53 140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57 842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58 717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51 341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51 851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51 851</w:t>
            </w:r>
          </w:p>
        </w:tc>
      </w:tr>
      <w:tr>
        <w:trPr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Средства массовой информации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1 526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1 565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1 644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1 644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1 644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1 894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1 894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1 894</w:t>
            </w:r>
          </w:p>
        </w:tc>
      </w:tr>
      <w:tr>
        <w:trPr>
          <w:trHeight w:val="312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Условно утвержденные расход</w:t>
            </w:r>
            <w:r>
              <w:rPr>
                <w:bCs/>
              </w:rPr>
              <w:t xml:space="preserve">ы</w:t>
            </w:r>
            <w:r>
              <w:rPr>
                <w:bCs/>
              </w:rPr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18 788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38 694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24"/>
        </w:trPr>
        <w:tc>
          <w:tcPr>
            <w:tcW w:w="2410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Всего расходов</w:t>
            </w:r>
          </w:p>
        </w:tc>
        <w:tc>
          <w:tcPr>
            <w:tcW w:w="992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1 528 851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1 775 655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2 159 771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1 637 973</w:t>
            </w:r>
          </w:p>
        </w:tc>
        <w:tc>
          <w:tcPr>
            <w:tcW w:w="887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1630 015</w:t>
            </w:r>
          </w:p>
        </w:tc>
        <w:tc>
          <w:tcPr>
            <w:tcW w:w="814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1 646 403</w:t>
            </w:r>
          </w:p>
        </w:tc>
        <w:tc>
          <w:tcPr>
            <w:tcW w:w="993" w:type="dxa"/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1 663 282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2280" w:leader="none"/>
              </w:tabs>
              <w:ind w:right="95"/>
              <w:jc w:val="center"/>
              <w:rPr>
                <w:bCs/>
              </w:rPr>
            </w:pPr>
            <w:r>
              <w:rPr>
                <w:bCs/>
              </w:rPr>
              <w:t xml:space="preserve">1 680 667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6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orbel">
    <w:panose1 w:val="020B050302020402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10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UserStyle_0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UserStyle_1"/>
    <w:semiHidden/>
    <w:rPr>
      <w:rFonts w:ascii="Tahoma" w:hAnsi="Tahoma"/>
      <w:sz w:val="16"/>
      <w:szCs w:val="16"/>
      <w:lang w:val="en-US" w:eastAsia="en-US"/>
    </w:rPr>
  </w:style>
  <w:style w:type="paragraph" w:styleId="BodyText">
    <w:name w:val="Основной текст"/>
    <w:basedOn w:val="Normal"/>
    <w:next w:val="BodyText"/>
    <w:link w:val="UserStyle_2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3">
    <w:name w:val="Основной текст с отступом Знак"/>
    <w:next w:val="UserStyle_3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3"/>
    <w:pPr>
      <w:spacing w:after="120"/>
      <w:ind w:left="283"/>
    </w:pPr>
    <w:rPr>
      <w:sz w:val="24"/>
      <w:szCs w:val="24"/>
    </w:rPr>
  </w:style>
  <w:style w:type="paragraph" w:styleId="UserStyle_4">
    <w:name w:val="List Paragraph"/>
    <w:basedOn w:val="Normal"/>
    <w:next w:val="UserStyle_4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5">
    <w:name w:val="ConsPlusNormal"/>
    <w:next w:val="UserStyle_5"/>
    <w:link w:val="UserStyle_6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UserStyle_7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6">
    <w:name w:val="ConsPlusNormal Знак"/>
    <w:next w:val="UserStyle_6"/>
    <w:link w:val="UserStyle_5"/>
    <w:rPr>
      <w:rFonts w:ascii="Arial" w:hAnsi="Arial"/>
      <w:lang w:val="ru-RU" w:bidi="ar-SA" w:eastAsia="ru-RU"/>
    </w:rPr>
  </w:style>
  <w:style w:type="paragraph" w:styleId="UserStyle_8">
    <w:name w:val="ConsPlusTitle"/>
    <w:next w:val="UserStyle_8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9"/>
    <w:pPr>
      <w:spacing w:after="120" w:line="480" w:lineRule="auto"/>
    </w:pPr>
    <w:rPr>
      <w:rFonts w:eastAsia="Calibri"/>
      <w:sz w:val="24"/>
      <w:szCs w:val="24"/>
    </w:rPr>
  </w:style>
  <w:style w:type="character" w:styleId="UserStyle_9">
    <w:name w:val="Основной текст 2 Знак"/>
    <w:next w:val="UserStyle_9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10">
    <w:name w:val="western"/>
    <w:basedOn w:val="Normal"/>
    <w:next w:val="UserStyle_10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11">
    <w:name w:val="Основной текст с отступом 21"/>
    <w:basedOn w:val="Normal"/>
    <w:next w:val="UserStyle_11"/>
    <w:link w:val="Normal"/>
    <w:pPr>
      <w:ind w:left="720" w:hanging="851"/>
      <w:jc w:val="both"/>
    </w:pPr>
    <w:rPr>
      <w:sz w:val="28"/>
      <w:lang w:eastAsia="ar-SA"/>
    </w:rPr>
  </w:style>
  <w:style w:type="character" w:styleId="UserStyle_12">
    <w:name w:val="Body text_"/>
    <w:next w:val="UserStyle_12"/>
    <w:link w:val="UserStyle_13"/>
    <w:locked/>
    <w:rPr>
      <w:sz w:val="25"/>
      <w:szCs w:val="25"/>
      <w:lang w:bidi="ar-SA"/>
    </w:rPr>
  </w:style>
  <w:style w:type="paragraph" w:styleId="UserStyle_13">
    <w:name w:val="Body text"/>
    <w:basedOn w:val="Normal"/>
    <w:next w:val="UserStyle_13"/>
    <w:link w:val="UserStyle_12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4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5">
    <w:name w:val="Font Style11"/>
    <w:next w:val="UserStyle_15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6">
    <w:name w:val="ConsPlusNonformat"/>
    <w:next w:val="UserStyle_16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4">
    <w:name w:val="Название Знак"/>
    <w:next w:val="UserStyle_14"/>
    <w:link w:val="Title"/>
    <w:rPr>
      <w:b/>
      <w:bCs/>
      <w:sz w:val="40"/>
    </w:rPr>
  </w:style>
  <w:style w:type="character" w:styleId="UserStyle_17">
    <w:name w:val="Основной текст_"/>
    <w:next w:val="UserStyle_17"/>
    <w:link w:val="UserStyle_18"/>
    <w:locked/>
    <w:rPr>
      <w:shd w:val="clear" w:color="auto" w:fill="ffffff"/>
    </w:rPr>
  </w:style>
  <w:style w:type="paragraph" w:styleId="UserStyle_18">
    <w:name w:val="Основной текст1"/>
    <w:basedOn w:val="Normal"/>
    <w:next w:val="UserStyle_18"/>
    <w:link w:val="UserStyle_17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2">
    <w:name w:val="Основной текст Знак"/>
    <w:next w:val="UserStyle_2"/>
    <w:link w:val="BodyText"/>
  </w:style>
  <w:style w:type="paragraph" w:styleId="UserStyle_19">
    <w:name w:val="UserStyle_19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9">
    <w:name w:val="UserStyle_19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9">
    <w:name w:val="UserStyle_19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2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20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1">
    <w:name w:val="fontstyle01"/>
    <w:basedOn w:val="NormalCharacter"/>
    <w:next w:val="UserStyle_21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2">
    <w:name w:val="Основной текст 21"/>
    <w:basedOn w:val="Normal"/>
    <w:next w:val="UserStyle_22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3">
    <w:name w:val="Основной текст (4)"/>
    <w:next w:val="UserStyle_23"/>
    <w:link w:val="Normal"/>
    <w:rPr>
      <w:b/>
      <w:bCs/>
      <w:sz w:val="26"/>
      <w:szCs w:val="26"/>
      <w:lang w:bidi="ar-SA"/>
    </w:rPr>
  </w:style>
  <w:style w:type="character" w:styleId="UserStyle_24">
    <w:name w:val="Основной текст (2)_"/>
    <w:basedOn w:val="NormalCharacter"/>
    <w:next w:val="UserStyle_24"/>
    <w:link w:val="UserStyle_25"/>
    <w:locked/>
    <w:rPr>
      <w:b/>
      <w:bCs/>
      <w:sz w:val="25"/>
      <w:szCs w:val="25"/>
      <w:shd w:val="clear" w:color="auto" w:fill="ffffff"/>
    </w:rPr>
  </w:style>
  <w:style w:type="paragraph" w:styleId="UserStyle_25">
    <w:name w:val="Основной текст (2)"/>
    <w:basedOn w:val="Normal"/>
    <w:next w:val="UserStyle_25"/>
    <w:link w:val="UserStyle_24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6">
    <w:name w:val="Обычный + По ширине"/>
    <w:basedOn w:val="Normal"/>
    <w:next w:val="UserStyle_26"/>
    <w:link w:val="Normal"/>
    <w:pPr>
      <w:jc w:val="both"/>
    </w:pPr>
    <w:rPr>
      <w:sz w:val="28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27"/>
    <w:pPr>
      <w:spacing w:after="120"/>
      <w:ind w:left="283"/>
    </w:pPr>
    <w:rPr>
      <w:sz w:val="16"/>
      <w:szCs w:val="16"/>
    </w:rPr>
  </w:style>
  <w:style w:type="character" w:styleId="UserStyle_27">
    <w:name w:val="Основной текст с отступом 3 Знак"/>
    <w:basedOn w:val="NormalCharacter"/>
    <w:next w:val="UserStyle_27"/>
    <w:link w:val="BodyTextIndent3"/>
    <w:rPr>
      <w:sz w:val="16"/>
      <w:szCs w:val="16"/>
    </w:rPr>
  </w:style>
  <w:style w:type="paragraph" w:styleId="UserStyle_28">
    <w:name w:val="Style2"/>
    <w:basedOn w:val="Normal"/>
    <w:next w:val="UserStyle_28"/>
    <w:link w:val="Normal"/>
    <w:pPr>
      <w:widowControl w:val="off"/>
      <w:spacing w:line="327" w:lineRule="exact"/>
      <w:ind w:firstLine="706"/>
      <w:jc w:val="both"/>
    </w:pPr>
    <w:rPr>
      <w:rFonts w:ascii="Calibri" w:hAnsi="Calibri"/>
      <w:sz w:val="24"/>
      <w:szCs w:val="24"/>
    </w:rPr>
  </w:style>
  <w:style w:type="paragraph" w:styleId="UserStyle_29">
    <w:name w:val="Style3"/>
    <w:basedOn w:val="Normal"/>
    <w:next w:val="UserStyle_29"/>
    <w:link w:val="Normal"/>
    <w:pPr>
      <w:widowControl w:val="off"/>
      <w:spacing w:line="326" w:lineRule="exact"/>
      <w:ind w:firstLine="710"/>
      <w:jc w:val="both"/>
    </w:pPr>
    <w:rPr>
      <w:rFonts w:ascii="Calibri" w:hAnsi="Calibri"/>
      <w:sz w:val="24"/>
      <w:szCs w:val="24"/>
    </w:rPr>
  </w:style>
  <w:style w:type="paragraph" w:styleId="UserStyle_30">
    <w:name w:val="Style4"/>
    <w:basedOn w:val="Normal"/>
    <w:next w:val="UserStyle_30"/>
    <w:link w:val="Normal"/>
    <w:pPr>
      <w:widowControl w:val="off"/>
      <w:jc w:val="both"/>
    </w:pPr>
    <w:rPr>
      <w:rFonts w:ascii="Calibri" w:hAnsi="Calibri"/>
      <w:sz w:val="24"/>
      <w:szCs w:val="24"/>
    </w:rPr>
  </w:style>
  <w:style w:type="paragraph" w:styleId="UserStyle_31">
    <w:name w:val="Style5"/>
    <w:basedOn w:val="Normal"/>
    <w:next w:val="UserStyle_31"/>
    <w:link w:val="Normal"/>
    <w:pPr>
      <w:widowControl w:val="off"/>
      <w:spacing w:line="322" w:lineRule="exact"/>
    </w:pPr>
    <w:rPr>
      <w:rFonts w:ascii="Calibri" w:hAnsi="Calibri"/>
      <w:sz w:val="24"/>
      <w:szCs w:val="24"/>
    </w:rPr>
  </w:style>
  <w:style w:type="paragraph" w:styleId="UserStyle_32">
    <w:name w:val="Style8"/>
    <w:basedOn w:val="Normal"/>
    <w:next w:val="UserStyle_32"/>
    <w:link w:val="Normal"/>
    <w:pPr>
      <w:widowControl w:val="off"/>
      <w:spacing w:line="326" w:lineRule="exact"/>
      <w:ind w:firstLine="533"/>
      <w:jc w:val="both"/>
    </w:pPr>
    <w:rPr>
      <w:rFonts w:ascii="Calibri" w:hAnsi="Calibri"/>
      <w:sz w:val="24"/>
      <w:szCs w:val="24"/>
    </w:rPr>
  </w:style>
  <w:style w:type="character" w:styleId="UserStyle_33">
    <w:name w:val="Font Style12"/>
    <w:next w:val="UserStyle_33"/>
    <w:link w:val="Normal"/>
    <w:rPr>
      <w:rFonts w:ascii="Times New Roman" w:hAnsi="Times New Roman"/>
      <w:sz w:val="24"/>
      <w:szCs w:val="24"/>
    </w:rPr>
  </w:style>
  <w:style w:type="character" w:styleId="UserStyle_0">
    <w:name w:val="Верхний колонтитул Знак"/>
    <w:basedOn w:val="NormalCharacter"/>
    <w:next w:val="UserStyle_0"/>
    <w:link w:val="Header"/>
    <w:locked/>
  </w:style>
  <w:style w:type="character" w:styleId="UserStyle_7">
    <w:name w:val="Нижний колонтитул Знак"/>
    <w:basedOn w:val="NormalCharacter"/>
    <w:next w:val="UserStyle_7"/>
    <w:link w:val="Footer"/>
    <w:locked/>
  </w:style>
  <w:style w:type="paragraph" w:styleId="User">
    <w:name w:val="Без интервала"/>
    <w:next w:val="User"/>
    <w:link w:val="Normal"/>
    <w:rPr>
      <w:rFonts w:ascii="Calibri" w:hAnsi="Calibri"/>
      <w:sz w:val="22"/>
      <w:szCs w:val="22"/>
      <w:lang w:val="ru-RU" w:bidi="ar-SA" w:eastAsia="en-US"/>
    </w:rPr>
  </w:style>
  <w:style w:type="character" w:styleId="UserStyle_34">
    <w:name w:val="Font Style14"/>
    <w:next w:val="UserStyle_34"/>
    <w:link w:val="Normal"/>
    <w:rPr>
      <w:rFonts w:ascii="Times New Roman" w:hAnsi="Times New Roman"/>
      <w:sz w:val="26"/>
      <w:szCs w:val="26"/>
    </w:rPr>
  </w:style>
  <w:style w:type="paragraph" w:styleId="UserStyle_35">
    <w:name w:val="Style11"/>
    <w:basedOn w:val="Normal"/>
    <w:next w:val="UserStyle_35"/>
    <w:link w:val="Normal"/>
    <w:pPr>
      <w:widowControl w:val="off"/>
      <w:spacing w:line="322" w:lineRule="exact"/>
      <w:ind w:firstLine="696"/>
      <w:jc w:val="both"/>
    </w:pPr>
    <w:rPr>
      <w:rFonts w:ascii="Calibri" w:hAnsi="Calibri"/>
      <w:sz w:val="24"/>
      <w:szCs w:val="24"/>
    </w:rPr>
  </w:style>
  <w:style w:type="character" w:styleId="UserStyle_36">
    <w:name w:val="Font Style22"/>
    <w:next w:val="UserStyle_36"/>
    <w:link w:val="Normal"/>
    <w:rPr>
      <w:rFonts w:ascii="Times New Roman" w:hAnsi="Times New Roman"/>
      <w:sz w:val="26"/>
      <w:szCs w:val="26"/>
    </w:rPr>
  </w:style>
  <w:style w:type="paragraph" w:styleId="UserStyle_37">
    <w:name w:val="ЭЭГ"/>
    <w:basedOn w:val="Normal"/>
    <w:next w:val="UserStyle_37"/>
    <w:link w:val="Normal"/>
    <w:pPr>
      <w:spacing w:line="360" w:lineRule="auto"/>
      <w:ind w:firstLine="720"/>
      <w:jc w:val="both"/>
    </w:pPr>
    <w:rPr>
      <w:rFonts w:ascii="Calibri" w:hAnsi="Calibri"/>
      <w:sz w:val="24"/>
      <w:szCs w:val="24"/>
    </w:rPr>
  </w:style>
  <w:style w:type="character" w:styleId="UserStyle_38">
    <w:name w:val="Font Style25"/>
    <w:next w:val="UserStyle_38"/>
    <w:link w:val="Normal"/>
    <w:rPr>
      <w:rFonts w:ascii="Times New Roman" w:hAnsi="Times New Roman"/>
      <w:sz w:val="26"/>
      <w:szCs w:val="26"/>
    </w:rPr>
  </w:style>
  <w:style w:type="paragraph" w:styleId="UserStyle_39">
    <w:name w:val="Style6"/>
    <w:basedOn w:val="Normal"/>
    <w:next w:val="UserStyle_39"/>
    <w:link w:val="Normal"/>
    <w:pPr>
      <w:widowControl w:val="off"/>
      <w:spacing w:line="330" w:lineRule="exact"/>
      <w:ind w:firstLine="706"/>
      <w:jc w:val="both"/>
    </w:pPr>
    <w:rPr>
      <w:rFonts w:ascii="Corbel" w:hAnsi="Corbel"/>
      <w:sz w:val="24"/>
      <w:szCs w:val="24"/>
    </w:rPr>
  </w:style>
  <w:style w:type="paragraph" w:styleId="UserStyle_40">
    <w:name w:val="Style9"/>
    <w:basedOn w:val="Normal"/>
    <w:next w:val="UserStyle_40"/>
    <w:link w:val="Normal"/>
    <w:pPr>
      <w:widowControl w:val="off"/>
      <w:spacing w:line="322" w:lineRule="exact"/>
      <w:ind w:firstLine="710"/>
      <w:jc w:val="both"/>
    </w:pPr>
    <w:rPr>
      <w:rFonts w:ascii="Calibri" w:hAnsi="Calibri"/>
      <w:sz w:val="24"/>
      <w:szCs w:val="24"/>
    </w:rPr>
  </w:style>
  <w:style w:type="character" w:styleId="UserStyle_41">
    <w:name w:val="Font Style19"/>
    <w:next w:val="UserStyle_41"/>
    <w:link w:val="Normal"/>
    <w:rPr>
      <w:rFonts w:ascii="Times New Roman" w:hAnsi="Times New Roman"/>
      <w:sz w:val="26"/>
      <w:szCs w:val="26"/>
    </w:rPr>
  </w:style>
  <w:style w:type="paragraph" w:styleId="UserStyle_42">
    <w:name w:val="Style27"/>
    <w:basedOn w:val="Normal"/>
    <w:next w:val="UserStyle_42"/>
    <w:link w:val="Normal"/>
    <w:pPr>
      <w:widowControl w:val="off"/>
      <w:spacing w:line="326" w:lineRule="exact"/>
      <w:ind w:firstLine="854"/>
      <w:jc w:val="both"/>
    </w:pPr>
    <w:rPr>
      <w:rFonts w:ascii="Arial" w:hAnsi="Arial"/>
      <w:sz w:val="24"/>
      <w:szCs w:val="24"/>
    </w:rPr>
  </w:style>
  <w:style w:type="character" w:styleId="UserStyle_43">
    <w:name w:val="Font Style44"/>
    <w:next w:val="UserStyle_43"/>
    <w:link w:val="Normal"/>
    <w:rPr>
      <w:rFonts w:ascii="Times New Roman" w:hAnsi="Times New Roman"/>
      <w:sz w:val="26"/>
      <w:szCs w:val="26"/>
    </w:rPr>
  </w:style>
  <w:style w:type="character" w:styleId="UserStyle_44">
    <w:name w:val="Font Style36"/>
    <w:next w:val="UserStyle_44"/>
    <w:link w:val="Normal"/>
    <w:rPr>
      <w:rFonts w:ascii="Times New Roman" w:hAnsi="Times New Roman"/>
      <w:sz w:val="26"/>
      <w:szCs w:val="26"/>
    </w:rPr>
  </w:style>
  <w:style w:type="character" w:styleId="UserStyle_1">
    <w:name w:val="Текст выноски Знак"/>
    <w:next w:val="UserStyle_1"/>
    <w:link w:val="Acetate"/>
    <w:semiHidden/>
    <w:locked/>
    <w:rPr>
      <w:rFonts w:ascii="Tahoma" w:hAnsi="Tahoma"/>
      <w:sz w:val="16"/>
      <w:szCs w:val="16"/>
    </w:rPr>
  </w:style>
  <w:style w:type="paragraph" w:styleId="UserStyle_45">
    <w:name w:val="Style15"/>
    <w:basedOn w:val="Normal"/>
    <w:next w:val="UserStyle_45"/>
    <w:link w:val="Normal"/>
    <w:pPr>
      <w:widowControl w:val="off"/>
    </w:pPr>
    <w:rPr>
      <w:rFonts w:ascii="Calibri" w:hAnsi="Calibri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