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18 декабря 2018 года №3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tabs>
          <w:tab w:val="left" w:pos="1134" w:leader="none"/>
          <w:tab w:val="left" w:pos="1276" w:leader="none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1134" w:leader="none"/>
          <w:tab w:val="left" w:pos="4320" w:leader="none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упорядочения оплаты труда и обеспечения социальных гарантий вспомогательному персоналу Грайворонского городского округа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 01 июня 2022 года следующие изменения в постановление администрации Грайворонского городского округа от 18 декабря 2018 года №3 «Об оплате труда вспомогательного персонала Грайворонского городского округа»: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об оплате труда вспомогательного персонала органов местного самоуправления Грайворонского городского округа, утвержденному в пункте 1 вышеназванного постановления, изложить </w:t>
        <w:br/>
        <w:t xml:space="preserve">в редакции согласно приложению к настоящему постановлению.</w:t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  <w:t xml:space="preserve">Опубликовать настоя</w:t>
      </w:r>
      <w:r>
        <w:rPr>
          <w:color w:val="000000"/>
          <w:sz w:val="28"/>
          <w:szCs w:val="28"/>
        </w:rPr>
        <w:t xml:space="preserve">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оставляю за собой.</w:t>
      </w: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rPr>
          <w:b/>
          <w:sz w:val="28"/>
          <w:szCs w:val="28"/>
        </w:rPr>
        <w:sectPr>
          <w:headerReference w:type="even" r:id="rId7"/>
          <w:headerReference w:type="default" r:id="rId8"/>
          <w:type w:val="nextPage"/>
          <w:pgSz w:w="11906" w:h="16838"/>
          <w:pgMar w:top="1135" w:right="567" w:bottom="993" w:left="1701" w:header="709" w:footer="709" w:gutter="0"/>
          <w:cols w:space="708"/>
          <w:docGrid w:linePitch="360"/>
          <w:titlePg/>
        </w:sectPr>
      </w:pPr>
      <w:r>
        <w:rPr>
          <w:b/>
          <w:sz w:val="28"/>
          <w:szCs w:val="28"/>
        </w:rPr>
      </w:r>
    </w:p>
    <w:sectPr>
      <w:type w:val="nextPage"/>
      <w:pgSz w:w="16838" w:h="11906" w:orient="landscape"/>
      <w:pgMar w:top="1701" w:right="1135" w:bottom="567" w:left="993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4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color="auto" w:fill="ffffff"/>
    </w:rPr>
  </w:style>
  <w:style w:type="paragraph" w:styleId="UserStyle_23">
    <w:name w:val="Основной текст (2)"/>
    <w:basedOn w:val="Normal"/>
    <w:next w:val="UserStyle_23"/>
    <w:link w:val="UserStyle_22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4">
    <w:name w:val="Обычный + По ширине"/>
    <w:basedOn w:val="Normal"/>
    <w:next w:val="UserStyle_24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