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</w:t>
            </w:r>
          </w:p>
          <w:p>
            <w:pPr>
              <w:pStyle w:val="UserStyle_23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от 0</w:t>
            </w:r>
            <w:r>
              <w:rPr>
                <w:b/>
                <w:szCs w:val="28"/>
              </w:rPr>
              <w:t xml:space="preserve">1 февраля 2019</w:t>
            </w:r>
            <w:r>
              <w:rPr>
                <w:b/>
                <w:szCs w:val="28"/>
              </w:rPr>
              <w:t xml:space="preserve"> года № </w:t>
            </w:r>
            <w:r>
              <w:rPr>
                <w:b/>
                <w:szCs w:val="28"/>
              </w:rPr>
              <w:t xml:space="preserve">58</w:t>
            </w:r>
            <w:r>
              <w:rPr>
                <w:b/>
              </w:rPr>
            </w:r>
          </w:p>
        </w:tc>
      </w:tr>
    </w:tbl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0" w:firstLine="7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со штатными изменениями в органах местного самоуправления Грайворонского городского округа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</w:p>
    <w:p>
      <w:pPr>
        <w:pStyle w:val="UserStyle_2"/>
        <w:tabs>
          <w:tab w:val="left" w:pos="1134" w:leader="none"/>
        </w:tabs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 xml:space="preserve">19 года № 58</w:t>
      </w:r>
      <w:r>
        <w:rPr>
          <w:sz w:val="28"/>
          <w:szCs w:val="28"/>
        </w:rPr>
        <w:t xml:space="preserve">                              «</w:t>
      </w:r>
      <w:r>
        <w:rPr>
          <w:sz w:val="28"/>
          <w:szCs w:val="28"/>
        </w:rPr>
        <w:t xml:space="preserve">О создании межведомственной комиссии и утверждении положения межведомственной комиссии по жилищным вопросам при администрации Грайворонского городского округа</w:t>
      </w:r>
      <w:r>
        <w:rPr>
          <w:sz w:val="28"/>
          <w:szCs w:val="28"/>
        </w:rPr>
        <w:t xml:space="preserve">»:</w:t>
      </w:r>
    </w:p>
    <w:p>
      <w:pPr>
        <w:pStyle w:val="UserStyle_2"/>
        <w:ind w:left="0" w:firstLine="783"/>
        <w:jc w:val="both"/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межведомственной комиссии по жилищным вопросам </w:t>
        <w:br/>
        <w:t xml:space="preserve">при администрации Грайворонского городского округа</w:t>
      </w:r>
      <w:r>
        <w:rPr>
          <w:sz w:val="28"/>
          <w:szCs w:val="28"/>
        </w:rPr>
        <w:t xml:space="preserve">, утвержденный в пункте 1 вышеназванного постановления (далее - </w:t>
      </w:r>
      <w:r>
        <w:rPr>
          <w:sz w:val="28"/>
          <w:szCs w:val="28"/>
        </w:rPr>
        <w:t xml:space="preserve">Комиссия</w:t>
      </w:r>
      <w:r>
        <w:rPr>
          <w:sz w:val="28"/>
          <w:szCs w:val="28"/>
        </w:rPr>
        <w:t xml:space="preserve">):</w:t>
      </w:r>
    </w:p>
    <w:p>
      <w:pPr>
        <w:pStyle w:val="UserStyle_2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Сироту Ларису Михайловну;</w:t>
      </w:r>
    </w:p>
    <w:p>
      <w:pPr>
        <w:pStyle w:val="UserStyle_2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 xml:space="preserve">Комиссии Борисову Татьяну Александровну, начальника управления социальной защиты населения администрации Грайворонского городского округа, членом комиссии</w:t>
      </w:r>
      <w:r>
        <w:rPr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</w:t>
        <w:tab/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</w:t>
      </w:r>
      <w:r>
        <w:rPr>
          <w:bCs/>
          <w:color w:val="000000"/>
          <w:sz w:val="28"/>
          <w:szCs w:val="28"/>
        </w:rPr>
        <w:t xml:space="preserve">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</w:t>
      </w:r>
      <w:r>
        <w:rPr>
          <w:bCs/>
          <w:color w:val="000000"/>
          <w:sz w:val="28"/>
          <w:szCs w:val="28"/>
        </w:rPr>
        <w:t xml:space="preserve"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(4)"/>
    <w:next w:val="UserStyle_20"/>
    <w:link w:val="Normal"/>
    <w:rPr>
      <w:b/>
      <w:bCs/>
      <w:sz w:val="26"/>
      <w:szCs w:val="26"/>
      <w:lang w:bidi="ar-SA"/>
    </w:rPr>
  </w:style>
  <w:style w:type="character" w:styleId="UserStyle_21">
    <w:name w:val="Основной текст (2)_"/>
    <w:basedOn w:val="NormalCharacter"/>
    <w:next w:val="UserStyle_21"/>
    <w:link w:val="UserStyle_22"/>
    <w:locked/>
    <w:rPr>
      <w:b/>
      <w:bCs/>
      <w:sz w:val="25"/>
      <w:szCs w:val="25"/>
      <w:shd w:val="clear" w:color="auto" w:fill="ffffff"/>
    </w:rPr>
  </w:style>
  <w:style w:type="paragraph" w:styleId="UserStyle_22">
    <w:name w:val="Основной текст (2)"/>
    <w:basedOn w:val="Normal"/>
    <w:next w:val="UserStyle_22"/>
    <w:link w:val="UserStyle_21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3">
    <w:name w:val="Обычный + По ширине"/>
    <w:basedOn w:val="Normal"/>
    <w:next w:val="UserStyle_23"/>
    <w:link w:val="Normal"/>
    <w:pPr>
      <w:jc w:val="both"/>
    </w:pPr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