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730658">
        <w:trPr>
          <w:trHeight w:val="812"/>
        </w:trPr>
        <w:tc>
          <w:tcPr>
            <w:tcW w:w="4644" w:type="dxa"/>
          </w:tcPr>
          <w:p w:rsidR="00041240" w:rsidRPr="00730658" w:rsidRDefault="0049657D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>в постановление администрации Грайворонского городского округа от 1</w:t>
            </w:r>
            <w:r>
              <w:rPr>
                <w:b/>
                <w:sz w:val="28"/>
                <w:szCs w:val="28"/>
              </w:rPr>
              <w:t>9</w:t>
            </w:r>
            <w:r w:rsidRPr="003D1F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3D1FE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7</w:t>
            </w:r>
            <w:r w:rsidRPr="003D1FE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49657D" w:rsidRPr="00236124" w:rsidRDefault="0049657D" w:rsidP="0049657D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</w:r>
      <w:r w:rsidRPr="00C10F83">
        <w:rPr>
          <w:sz w:val="28"/>
          <w:szCs w:val="28"/>
        </w:rPr>
        <w:t xml:space="preserve">МКУ «Центр бухгалтерского учета и </w:t>
      </w:r>
      <w:r>
        <w:rPr>
          <w:sz w:val="28"/>
          <w:szCs w:val="28"/>
        </w:rPr>
        <w:t>обеспечения учреждений образования»</w:t>
      </w:r>
      <w:r w:rsidRPr="004F4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городского округа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 01 июля 2021 года следующие изменения в постановление администрации Грайворонского городского округа от 19 ноября 2019 года №715 </w:t>
      </w:r>
      <w:r w:rsidRPr="00400C6D">
        <w:rPr>
          <w:sz w:val="28"/>
          <w:szCs w:val="28"/>
        </w:rPr>
        <w:t>«</w:t>
      </w:r>
      <w:r w:rsidRPr="00C45100">
        <w:rPr>
          <w:sz w:val="28"/>
          <w:szCs w:val="28"/>
        </w:rPr>
        <w:t xml:space="preserve">Об оплате труда работников МКУ «Центр бухгалтерского учета </w:t>
      </w:r>
      <w:r>
        <w:rPr>
          <w:sz w:val="28"/>
          <w:szCs w:val="28"/>
        </w:rPr>
        <w:br/>
      </w:r>
      <w:r w:rsidRPr="00C45100">
        <w:rPr>
          <w:sz w:val="28"/>
          <w:szCs w:val="28"/>
        </w:rPr>
        <w:t>и обеспечения деятельности учреждений образования</w:t>
      </w:r>
      <w:r>
        <w:rPr>
          <w:sz w:val="28"/>
          <w:szCs w:val="28"/>
        </w:rPr>
        <w:t>»</w:t>
      </w:r>
      <w:r w:rsidRPr="00C45100"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>»: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в порядок </w:t>
      </w:r>
      <w:r w:rsidRPr="008860C8">
        <w:rPr>
          <w:sz w:val="28"/>
        </w:rPr>
        <w:t xml:space="preserve">о единовременной выплате при предоставлении работникам МКУ «Центр бухгалтерского учета и </w:t>
      </w:r>
      <w:r>
        <w:rPr>
          <w:sz w:val="28"/>
        </w:rPr>
        <w:t>обеспечения деятельности учреждений образования»</w:t>
      </w:r>
      <w:r w:rsidRPr="008860C8">
        <w:rPr>
          <w:sz w:val="28"/>
        </w:rPr>
        <w:t xml:space="preserve"> Грайворонского городского округа ежегодного оплачиваемого отпуска и материальной помощи</w:t>
      </w:r>
      <w:r>
        <w:rPr>
          <w:sz w:val="28"/>
        </w:rPr>
        <w:t>, утвержденный в подпункте 4.4. пункта 4 вышеназванного постановления (далее – Порядок):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2.2 раздела 2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серебряный знак отличия ГТО – в размере 50 процентов должностного оклада</w:t>
      </w:r>
      <w:proofErr w:type="gramStart"/>
      <w:r>
        <w:rPr>
          <w:sz w:val="28"/>
          <w:szCs w:val="28"/>
        </w:rPr>
        <w:t>.»;</w:t>
      </w:r>
      <w:proofErr w:type="gramEnd"/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lastRenderedPageBreak/>
        <w:t xml:space="preserve">в порядок выплаты </w:t>
      </w:r>
      <w:r>
        <w:rPr>
          <w:sz w:val="28"/>
          <w:szCs w:val="28"/>
        </w:rPr>
        <w:t xml:space="preserve">работникам </w:t>
      </w:r>
      <w:r w:rsidRPr="00C45100">
        <w:rPr>
          <w:sz w:val="28"/>
          <w:szCs w:val="28"/>
        </w:rPr>
        <w:t xml:space="preserve">МКУ «Центр бухгалтерского учета </w:t>
      </w:r>
      <w:r>
        <w:rPr>
          <w:sz w:val="28"/>
          <w:szCs w:val="28"/>
        </w:rPr>
        <w:br/>
      </w:r>
      <w:r w:rsidRPr="00C45100">
        <w:rPr>
          <w:sz w:val="28"/>
          <w:szCs w:val="28"/>
        </w:rPr>
        <w:t>и обеспечения деятельности учреждений образования</w:t>
      </w:r>
      <w:r>
        <w:rPr>
          <w:sz w:val="28"/>
          <w:szCs w:val="28"/>
        </w:rPr>
        <w:t>»</w:t>
      </w:r>
      <w:r w:rsidRPr="00C45100"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ежемесячной премии по результатам работы, утвержденный в подпункте 4.2. пункта 4 вышеназванного постановления </w:t>
      </w:r>
      <w:r>
        <w:rPr>
          <w:sz w:val="28"/>
        </w:rPr>
        <w:br/>
        <w:t>(далее – Порядок):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пункт 3.5. раздела 3 Порядка изложить в новой редакции: 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«3.5. </w:t>
      </w:r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положение об оплате труда вспомогательного персонала </w:t>
      </w:r>
      <w:r>
        <w:rPr>
          <w:sz w:val="28"/>
        </w:rPr>
        <w:br/>
      </w:r>
      <w:r w:rsidRPr="008860C8">
        <w:rPr>
          <w:sz w:val="28"/>
        </w:rPr>
        <w:t xml:space="preserve">МКУ «Центр бухгалтерского учета и </w:t>
      </w:r>
      <w:r>
        <w:rPr>
          <w:sz w:val="28"/>
        </w:rPr>
        <w:t>обеспечения деятельности учреждений образования»</w:t>
      </w:r>
      <w:r w:rsidRPr="008860C8">
        <w:rPr>
          <w:sz w:val="28"/>
        </w:rPr>
        <w:t xml:space="preserve"> Грайворонского городского округа</w:t>
      </w:r>
      <w:r>
        <w:rPr>
          <w:sz w:val="28"/>
          <w:szCs w:val="28"/>
        </w:rPr>
        <w:t>,</w:t>
      </w:r>
      <w:r>
        <w:rPr>
          <w:sz w:val="28"/>
        </w:rPr>
        <w:t xml:space="preserve"> утвержденное </w:t>
      </w:r>
      <w:r>
        <w:rPr>
          <w:sz w:val="28"/>
        </w:rPr>
        <w:br/>
        <w:t>в подпункте 4.5. пункта 4 вышеназванного постановления (далее – Положение):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4.4. раздела 4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серебряный знак отличия ГТО – в размере 50 процентов должностного оклада</w:t>
      </w:r>
      <w:proofErr w:type="gramStart"/>
      <w:r>
        <w:rPr>
          <w:sz w:val="28"/>
          <w:szCs w:val="28"/>
        </w:rPr>
        <w:t>.»;</w:t>
      </w:r>
      <w:proofErr w:type="gramEnd"/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раздел 4 дополнить подпунктом 4.5. следующего содержания: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«4.5. </w:t>
      </w:r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49657D" w:rsidRPr="005A38E4" w:rsidRDefault="0049657D" w:rsidP="0049657D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4D7B52" w:rsidRPr="004D7B52" w:rsidRDefault="004D7B52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B7" w:rsidRDefault="00DD6BB7" w:rsidP="00D47252">
      <w:r>
        <w:separator/>
      </w:r>
    </w:p>
  </w:endnote>
  <w:endnote w:type="continuationSeparator" w:id="0">
    <w:p w:rsidR="00DD6BB7" w:rsidRDefault="00DD6BB7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B7" w:rsidRDefault="00DD6BB7" w:rsidP="00D47252">
      <w:r>
        <w:separator/>
      </w:r>
    </w:p>
  </w:footnote>
  <w:footnote w:type="continuationSeparator" w:id="0">
    <w:p w:rsidR="00DD6BB7" w:rsidRDefault="00DD6BB7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30164B">
        <w:pPr>
          <w:pStyle w:val="a7"/>
          <w:jc w:val="center"/>
        </w:pPr>
        <w:fldSimple w:instr=" PAGE   \* MERGEFORMAT ">
          <w:r w:rsidR="00B95426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A75AA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F2B"/>
    <w:rsid w:val="002C2F63"/>
    <w:rsid w:val="002C5F65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C2FDD"/>
    <w:rsid w:val="005D78C8"/>
    <w:rsid w:val="005F0CD0"/>
    <w:rsid w:val="005F526B"/>
    <w:rsid w:val="00631CF2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D5E76"/>
    <w:rsid w:val="009D72B4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95426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5B2E-2799-4112-81F7-8FE5485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2021-07-29T12:17:00Z</cp:lastPrinted>
  <dcterms:created xsi:type="dcterms:W3CDTF">2021-07-29T12:07:00Z</dcterms:created>
  <dcterms:modified xsi:type="dcterms:W3CDTF">2021-07-29T12:23:00Z</dcterms:modified>
</cp:coreProperties>
</file>