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</w:t>
            </w:r>
            <w:r>
              <w:rPr>
                <w:b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UserStyle_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53 Федерального закона </w:t>
        <w:br/>
        <w:t xml:space="preserve">от 31 июля 2020 года № 248-ФЗ «О государственном контроле (надзоре) </w:t>
        <w:br/>
        <w:t xml:space="preserve">и муниципальном контроле в Российской Федерации»,</w:t>
      </w:r>
      <w:r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Правительства Российской Федерации от 27 октября 2021 года № 1844 </w:t>
        <w:br/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Грайворонского городского округа,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форму проверочного листа, применяемого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границах Грайворонского городского округа (прилагается).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Normal"/>
        <w:tabs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</w:p>
    <w:p>
      <w:pPr>
        <w:pStyle w:val="Normal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W w:w="4644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492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администрации Грайворонского городского округа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«___» _____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__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20___ года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№ _____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</w:tbl>
    <w:p>
      <w:pPr>
        <w:pStyle w:val="17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</w:t>
        <w:br/>
        <w:t xml:space="preserve">проверочного листа, применяемого </w:t>
      </w:r>
      <w:r>
        <w:rPr>
          <w:b/>
          <w:sz w:val="28"/>
          <w:szCs w:val="28"/>
        </w:rPr>
        <w:t xml:space="preserve">при осуществлении муниципального контроля </w:t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</w:t>
      </w:r>
      <w:r>
        <w:rPr>
          <w:b/>
          <w:sz w:val="28"/>
          <w:szCs w:val="28"/>
        </w:rPr>
        <w:t xml:space="preserve"> Грайворонского городского округа</w:t>
      </w:r>
      <w:r>
        <w:rPr>
          <w:b/>
          <w:sz w:val="28"/>
          <w:szCs w:val="28"/>
        </w:rPr>
      </w:r>
    </w:p>
    <w:p>
      <w:pPr>
        <w:pStyle w:val="Normal"/>
        <w:tabs>
          <w:tab w:val="left" w:pos="860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915" w:leader="non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141605</wp:posOffset>
                </wp:positionV>
                <wp:extent cx="2124075" cy="1866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124075" cy="186690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21600"/>
                            <a:gd name="gd10" fmla="*/ h 0 21600"/>
                            <a:gd name="gd11" fmla="*/ w 21600 21600"/>
                            <a:gd name="gd12" fmla="*/ h 21600 21600"/>
                          </a:gdLst>
                          <a:ahLst/>
                          <a:cxnLst/>
                          <a:rect l="gd9" t="gd10" r="gd11" b="gd12"/>
                          <a:pathLst>
                            <a:path w="21600" h="2160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21600" h="2160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t xml:space="preserve">QR-код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9.0pt;mso-wrap-distance-top:0.0pt;mso-wrap-distance-right:9.0pt;mso-wrap-distance-bottom:0.0pt;z-index:524288;o:allowoverlap:true;o:allowincell:true;mso-position-horizontal-relative:text;margin-left:293.9pt;mso-position-horizontal:absolute;mso-position-vertical-relative:text;margin-top:11.1pt;mso-position-vertical:absolute;width:167.2pt;height:147.0pt;v-text-anchor:middle;" coordsize="100000,100000" path="m0,0l0,99999l100000,99999l100000,0xee" fillcolor="#FFFFFF" strokecolor="#000000" strokeweight="0.25pt">
                <v:path textboxrect="0,0,100000,99998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t xml:space="preserve">QR-код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Heading1"/>
      </w:pPr>
    </w:p>
    <w:p>
      <w:pPr>
        <w:pStyle w:val="Heading1"/>
      </w:pPr>
    </w:p>
    <w:p>
      <w:pPr>
        <w:pStyle w:val="Heading1"/>
        <w:tabs>
          <w:tab w:val="left" w:pos="1134" w:leader="none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Проверочный лист, </w:t>
        <w:br/>
        <w:t xml:space="preserve">применяемый </w:t>
      </w:r>
      <w:r>
        <w:rPr>
          <w:b/>
          <w:szCs w:val="28"/>
        </w:rPr>
        <w:t xml:space="preserve">при осуществлении муниципального контроля </w:t>
      </w:r>
      <w:r>
        <w:rPr>
          <w:b/>
          <w:szCs w:val="28"/>
        </w:rPr>
        <w:br/>
      </w:r>
      <w:r>
        <w:rPr>
          <w:b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b/>
          <w:szCs w:val="28"/>
        </w:rPr>
        <w:t xml:space="preserve">Грайворонского городского округа</w:t>
      </w:r>
      <w:r>
        <w:rPr>
          <w:b/>
          <w:szCs w:val="28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9"/>
        <w:widowControl w:val="off"/>
        <w:tabs>
          <w:tab w:val="left" w:pos="0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____________________________________________________________________.</w:t>
      </w:r>
    </w:p>
    <w:p>
      <w:pPr>
        <w:pStyle w:val="179"/>
        <w:widowControl w:val="off"/>
        <w:tabs>
          <w:tab w:val="left" w:pos="0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Наименование контрольного органа</w:t>
      </w:r>
      <w:r>
        <w:rPr>
          <w:sz w:val="28"/>
          <w:szCs w:val="28"/>
        </w:rPr>
        <w:t xml:space="preserve">: __________________________</w:t>
      </w:r>
      <w:r>
        <w:rPr>
          <w:sz w:val="28"/>
          <w:szCs w:val="28"/>
        </w:rPr>
        <w:br/>
        <w:t xml:space="preserve">_____________________________________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Реквизиты нормативного правового акта об утверждении формы проверочного листа ___________________________</w:t>
      </w: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______________.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Объект муниципального контроля, в отношении которого проводится контрольное мероприятие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________________________________.</w:t>
        <w:br/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____________________________________________</w:t>
      </w:r>
    </w:p>
    <w:p>
      <w:pPr>
        <w:pStyle w:val="Normal"/>
        <w:tabs>
          <w:tab w:val="left" w:pos="0" w:leader="none"/>
          <w:tab w:val="left" w:pos="1134" w:leader="none"/>
          <w:tab w:val="left" w:pos="9387" w:leader="none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  <w:tab w:val="left" w:pos="1134" w:leader="none"/>
          <w:tab w:val="left" w:pos="9387" w:leader="none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Фамилия, имя и отчество (при наличии) гражданина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индивидуального предпринимателя, наименование юридического лица,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идентификационный номер налогоплательщика и (или) основной государственный регистрационный номер, адрес юридического лица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(его филиалов, представительств, обособленных структурных подразделений), являющихся контролируемыми лицами, являющегося контролируемым лицом: 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.</w:t>
      </w:r>
    </w:p>
    <w:p>
      <w:pPr>
        <w:pStyle w:val="179"/>
        <w:widowControl w:val="off"/>
        <w:tabs>
          <w:tab w:val="left" w:pos="0" w:leader="none"/>
          <w:tab w:val="left" w:pos="1134" w:leader="none"/>
        </w:tabs>
        <w:ind w:left="0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(места)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мероприятия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заполнением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проверочного</w:t>
      </w:r>
      <w:r>
        <w:rPr>
          <w:spacing w:val="-12"/>
          <w:sz w:val="28"/>
          <w:szCs w:val="28"/>
        </w:rPr>
        <w:t xml:space="preserve"> листа: </w:t>
      </w:r>
    </w:p>
    <w:p>
      <w:pPr>
        <w:pStyle w:val="179"/>
        <w:widowControl w:val="off"/>
        <w:tabs>
          <w:tab w:val="left" w:pos="0" w:leader="none"/>
          <w:tab w:val="left" w:pos="1134" w:leader="none"/>
        </w:tabs>
        <w:ind w:left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____________________________________________________________________________________________________________________________</w:t>
      </w:r>
      <w:r>
        <w:rPr>
          <w:spacing w:val="-12"/>
          <w:sz w:val="28"/>
          <w:szCs w:val="28"/>
        </w:rPr>
        <w:t xml:space="preserve">_________________________</w:t>
      </w:r>
      <w:r>
        <w:rPr>
          <w:spacing w:val="-12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179"/>
        <w:widowControl w:val="off"/>
        <w:tabs>
          <w:tab w:val="left" w:pos="0" w:leader="none"/>
          <w:tab w:val="left" w:pos="851" w:leader="none"/>
          <w:tab w:val="left" w:pos="1134" w:leader="none"/>
          <w:tab w:val="left" w:pos="9399" w:leader="none"/>
        </w:tabs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7.</w:t>
        <w:tab/>
      </w:r>
      <w:r>
        <w:rPr>
          <w:sz w:val="28"/>
          <w:szCs w:val="28"/>
        </w:rPr>
        <w:t xml:space="preserve">Реквизиты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Грайворонского городского округа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мероприятия,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подписанного уполномоченным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Грайворонского городского округа: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______________________________________________________</w:t>
      </w:r>
    </w:p>
    <w:p>
      <w:pPr>
        <w:pStyle w:val="179"/>
        <w:widowControl w:val="off"/>
        <w:tabs>
          <w:tab w:val="left" w:pos="0" w:leader="none"/>
          <w:tab w:val="left" w:pos="851" w:leader="none"/>
          <w:tab w:val="left" w:pos="1134" w:leader="none"/>
          <w:tab w:val="left" w:pos="9399" w:leader="none"/>
        </w:tabs>
        <w:ind w:left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_______________________________________________________________________</w:t>
      </w:r>
      <w:r>
        <w:rPr>
          <w:sz w:val="28"/>
          <w:szCs w:val="28"/>
        </w:rPr>
      </w:r>
    </w:p>
    <w:p>
      <w:pPr>
        <w:pStyle w:val="179"/>
        <w:widowControl w:val="off"/>
        <w:tabs>
          <w:tab w:val="left" w:pos="0" w:leader="none"/>
          <w:tab w:val="left" w:pos="1134" w:leader="none"/>
          <w:tab w:val="left" w:pos="8724" w:leader="none"/>
          <w:tab w:val="left" w:pos="94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</w:r>
      <w:r>
        <w:rPr>
          <w:sz w:val="28"/>
          <w:szCs w:val="28"/>
        </w:rPr>
        <w:t xml:space="preserve">Учетный номер контрольного мероприятия:</w:t>
      </w:r>
      <w:r>
        <w:rPr>
          <w:spacing w:val="-10"/>
          <w:sz w:val="28"/>
          <w:szCs w:val="28"/>
        </w:rPr>
        <w:t xml:space="preserve">______________________</w:t>
      </w:r>
      <w:r>
        <w:rPr>
          <w:spacing w:val="-10"/>
          <w:sz w:val="28"/>
          <w:szCs w:val="28"/>
        </w:rPr>
        <w:t xml:space="preserve">__</w:t>
      </w:r>
      <w:r>
        <w:rPr>
          <w:sz w:val="28"/>
          <w:szCs w:val="28"/>
        </w:rPr>
      </w:r>
    </w:p>
    <w:p>
      <w:pPr>
        <w:pStyle w:val="179"/>
        <w:widowControl w:val="off"/>
        <w:tabs>
          <w:tab w:val="left" w:pos="0" w:leader="none"/>
          <w:tab w:val="left" w:pos="1134" w:leader="none"/>
          <w:tab w:val="left" w:pos="8724" w:leader="none"/>
          <w:tab w:val="left" w:pos="9434" w:leader="none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9.</w:t>
      </w:r>
      <w:r>
        <w:rPr>
          <w:spacing w:val="-10"/>
          <w:sz w:val="28"/>
          <w:szCs w:val="28"/>
        </w:rPr>
        <w:tab/>
      </w:r>
      <w:r>
        <w:rPr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</w:t>
      </w:r>
      <w:r>
        <w:rPr>
          <w:spacing w:val="-2"/>
          <w:sz w:val="28"/>
          <w:szCs w:val="28"/>
        </w:rPr>
        <w:t xml:space="preserve">требований:</w:t>
      </w:r>
    </w:p>
    <w:p>
      <w:pPr>
        <w:pStyle w:val="Normal"/>
      </w:pPr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0"/>
        <w:gridCol w:w="2986"/>
        <w:gridCol w:w="2977"/>
        <w:gridCol w:w="1984"/>
        <w:gridCol w:w="1134"/>
      </w:tblGrid>
      <w:tr>
        <w:trPr>
          <w:cantSplit/>
        </w:trPr>
        <w:tc>
          <w:tcPr>
            <w:tcW w:w="7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Соотнесенные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со списком контрольных вопросов реквизиты нормативных правовых актов с указанием структурных единиц </w:t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этих актов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Ответы на вопросы</w:t>
            </w:r>
          </w:p>
        </w:tc>
      </w:tr>
      <w:tr>
        <w:trPr>
          <w:cantSplit/>
        </w:trPr>
        <w:tc>
          <w:tcPr>
            <w:tcW w:w="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«да»/ «нет»/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«неприменимо»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риме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чание</w:t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Соблюдаются ли состав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 содержанию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разделов проектной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участков, состав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 содержанию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разделов проектной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 применительно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отдельным этапам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строительства,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реконструкции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участков, а также состав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 содержанию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разделов проектной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участков, представляемой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на экспертизу проектной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документации и в органы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государственного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строительного надзора?</w:t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2 статьи 16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 законодательные акты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</w:p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Согласовано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 разрешение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на строительство,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реконструкцию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органом местного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самоуправления?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3 статьи 16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2007 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 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 акты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Соблюдается ли состав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работ по ремонту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дорог?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4 статьи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Федерации»;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приказ Минтранса России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 16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2012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402 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утверждении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Классификации работ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капитальному ремонту,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ремонту и содержанию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содержание автомобильных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дорог в соответствии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требованиями технических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регламентов в целях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обеспечения сохранности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также организации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дорожного движения,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том числе посредством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поддержания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бесперебойного движения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транспортных средств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автомобильным дорогам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безопасных условий такого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движения?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1, 2 статьи 17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Соблюдается ли состав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работ по содержанию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дорог?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3 статьи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Федерации»;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приказ Минтранса России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 16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2012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402 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утверждении Классификации работ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капитальному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ремонту, ремонту и содержанию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 ремонт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соответствии требованиями технических регламентов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целях поддержания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бесперебойного движения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транспортных средств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автомобильным дорогам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безопасных условий такого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движения, а также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обеспечения сохранности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1 статьи 18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 законодательные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 Российской Федерации»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прокладка, перенос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переустройство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инженерных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коммуникаций,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эксплуатация в границах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полосы автомобильной дороги на основании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заключаемого владельцами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таких коммуникаций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YS Text" w:hAnsi="YS Text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владельцем автомобильной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дороги?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2 статьи 19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 акты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прокладка, перенос,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переустройство,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эксплуатация инженерных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коммуникаций в границах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полос отвода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придорожных полос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соответствии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техническими требованиями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условиями, установленными договором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между владельцами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инженерных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коммуникаций?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2 статьи 19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 акты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Выдано ли органом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местного самоуправления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разрешение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строительство в случае прокладки, переноса,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переустройства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инженерных коммуникаций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границах придорожных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полос автомобильной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дороги?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5 статьи 19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 о дорожной деятельности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законодательные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акты 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ли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размещение объектов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дорожного сервиса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границах полосы отвода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автомобильной дороги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соответствии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документацией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планировке территории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требованиями технических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регламентов?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асть 1 статьи 22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Федерального закона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08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2007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года </w:t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№ 257-ФЗ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«Об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автомобильных дорогах 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дорожной деятельности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br/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отдельные законодательные акты</w:t>
            </w:r>
          </w:p>
          <w:p>
            <w:pPr>
              <w:pStyle w:val="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ухудшают ли объекты  дорожного сервиса  видимость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 автомобильной дороге,  другие условия  безопасности дорожного  движения, а также условия  использования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содержания автомобильной </w:t>
            </w:r>
            <w:r>
              <w:rPr>
                <w:sz w:val="24"/>
                <w:szCs w:val="24"/>
              </w:rPr>
              <w:t xml:space="preserve">дороги </w:t>
            </w:r>
            <w:r>
              <w:rPr>
                <w:sz w:val="24"/>
                <w:szCs w:val="24"/>
              </w:rPr>
              <w:br/>
              <w:t xml:space="preserve">и расположенных </w:t>
            </w:r>
            <w:r>
              <w:rPr>
                <w:sz w:val="24"/>
                <w:szCs w:val="24"/>
              </w:rPr>
              <w:t xml:space="preserve">на ней сооружений и иных  объектов?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22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  <w:br/>
            </w:r>
            <w:r>
              <w:rPr>
                <w:sz w:val="24"/>
                <w:szCs w:val="24"/>
              </w:rPr>
              <w:t xml:space="preserve">№ 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 строительство?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4 статьи 22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Оборудованы ли объекты  дорожного сервиса  стоянками и местами  остановки транспортных  средств, а также  подъездами, съездами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примыканиями в целях  обеспечения доступа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ним с автомобильной дороги?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6 статьи 22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№257-ФЗ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95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  <w:t xml:space="preserve">ли в </w:t>
            </w:r>
            <w:r>
              <w:rPr>
                <w:sz w:val="24"/>
                <w:szCs w:val="24"/>
              </w:rPr>
              <w:t xml:space="preserve">границах полос отвода автомобильной дороги выполнение работ, не связанных </w:t>
            </w:r>
            <w:r>
              <w:rPr>
                <w:sz w:val="24"/>
                <w:szCs w:val="24"/>
              </w:rPr>
              <w:br/>
              <w:t xml:space="preserve">со </w:t>
            </w:r>
            <w:r>
              <w:rPr>
                <w:sz w:val="24"/>
                <w:szCs w:val="24"/>
              </w:rPr>
              <w:t xml:space="preserve">строительством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 реконструкцией, капитальным ремонтом,  ремонтом и содержанием  автомобильной дороги,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 также с размещением  объектов дорожного  сервиса?</w:t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25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Размещены ли в границах  полос отвода автомобильной дороги  здания, строения,  сооружения и другие  объекты,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не  предназначенные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для обслуживания автомобильной дороги,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ее  строительства, реконструкции, капитального ремонта,  ремонта и содержания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не относящиеся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объектам дорожного сервиса?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0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25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  <w:br/>
            </w:r>
            <w:r>
              <w:rPr>
                <w:sz w:val="24"/>
                <w:szCs w:val="24"/>
              </w:rPr>
              <w:t xml:space="preserve">№ 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5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 в  границах полос отвода автомобильной дороги распашка земельных участков, покос травы,  осуществление рубок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ремонту автомобильной дороги,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ее участков?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3 статьи 25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</w:t>
            </w:r>
            <w:r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№ 257-ФЗ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 в письменной форме  владельцем автомобильной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для осуществления дорожной деятельности, объектов дорожного сервиса, установка рекламных конструкций, информационных щитов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указателей?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91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асть 8 статьи 26 Федерального закона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08</w:t>
            </w:r>
            <w:r>
              <w:rPr>
                <w:sz w:val="24"/>
                <w:szCs w:val="24"/>
              </w:rPr>
              <w:t xml:space="preserve"> ноября </w:t>
            </w:r>
            <w:r>
              <w:rPr>
                <w:sz w:val="24"/>
                <w:szCs w:val="24"/>
              </w:rPr>
              <w:t xml:space="preserve">2007 </w:t>
            </w:r>
            <w:r>
              <w:rPr>
                <w:sz w:val="24"/>
                <w:szCs w:val="24"/>
              </w:rPr>
              <w:t xml:space="preserve">года </w:t>
              <w:br/>
            </w:r>
            <w:r>
              <w:rPr>
                <w:sz w:val="24"/>
                <w:szCs w:val="24"/>
              </w:rPr>
              <w:t xml:space="preserve">№ 257-ФЗ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«Об автомобильных дорогах и о дорожной деятельности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о внесении изменений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отдельные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законодательные акты Российской Федерации»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ли требования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>
              <w:rPr>
                <w:sz w:val="24"/>
                <w:szCs w:val="24"/>
              </w:rPr>
              <w:t xml:space="preserve">?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 xml:space="preserve">с</w:t>
            </w:r>
            <w:r>
              <w:rPr>
                <w:bCs/>
                <w:sz w:val="24"/>
                <w:szCs w:val="24"/>
              </w:rPr>
              <w:t xml:space="preserve">татьи 19-22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от 08</w:t>
            </w:r>
            <w:r>
              <w:rPr>
                <w:sz w:val="24"/>
                <w:szCs w:val="24"/>
                <w:shd w:val="clear" w:color="auto" w:fill="ffffff"/>
              </w:rPr>
              <w:t xml:space="preserve"> ноября </w:t>
            </w:r>
            <w:r>
              <w:rPr>
                <w:sz w:val="24"/>
                <w:szCs w:val="24"/>
                <w:shd w:val="clear" w:color="auto" w:fill="ffffff"/>
              </w:rPr>
              <w:t xml:space="preserve">2007 </w:t>
            </w:r>
            <w:r>
              <w:rPr>
                <w:sz w:val="24"/>
                <w:szCs w:val="24"/>
                <w:shd w:val="clear" w:color="auto" w:fill="ffffff"/>
              </w:rPr>
              <w:t xml:space="preserve"> года </w:t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№ 259-ФЗ «Устав автомобильного транспорта и городского наземного электрического транспорта»</w:t>
            </w:r>
            <w:r>
              <w:rPr>
                <w:sz w:val="24"/>
                <w:szCs w:val="24"/>
                <w:shd w:val="clear" w:color="auto" w:fill="ffffff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1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Правила </w:t>
            </w:r>
            <w:r>
              <w:rPr>
                <w:sz w:val="24"/>
                <w:szCs w:val="24"/>
                <w:shd w:val="clear" w:color="auto" w:fill="ffffff"/>
              </w:rPr>
              <w:t xml:space="preserve">перевозок пассажиров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багажа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автомобильным транспортом и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городским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наземным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электрическим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транспортом?</w:t>
            </w: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</w:t>
            </w:r>
            <w:r>
              <w:rPr>
                <w:sz w:val="24"/>
                <w:szCs w:val="24"/>
                <w:shd w:val="clear" w:color="auto" w:fill="ffffff"/>
              </w:rPr>
              <w:t xml:space="preserve">ункт 1 постановления Правительства Р</w:t>
            </w:r>
            <w:r>
              <w:rPr>
                <w:sz w:val="24"/>
                <w:szCs w:val="24"/>
                <w:shd w:val="clear" w:color="auto" w:fill="ffffff"/>
              </w:rPr>
              <w:t xml:space="preserve">оссийской </w:t>
            </w:r>
            <w:r>
              <w:rPr>
                <w:sz w:val="24"/>
                <w:szCs w:val="24"/>
                <w:shd w:val="clear" w:color="auto" w:fill="ffffff"/>
              </w:rPr>
              <w:t xml:space="preserve">Ф</w:t>
            </w:r>
            <w:r>
              <w:rPr>
                <w:sz w:val="24"/>
                <w:szCs w:val="24"/>
                <w:shd w:val="clear" w:color="auto" w:fill="ffffff"/>
              </w:rPr>
              <w:t xml:space="preserve">едерации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от 01</w:t>
            </w:r>
            <w:r>
              <w:rPr>
                <w:sz w:val="24"/>
                <w:szCs w:val="24"/>
                <w:shd w:val="clear" w:color="auto" w:fill="ffffff"/>
              </w:rPr>
              <w:t xml:space="preserve"> октября </w:t>
            </w:r>
            <w:r>
              <w:rPr>
                <w:sz w:val="24"/>
                <w:szCs w:val="24"/>
                <w:shd w:val="clear" w:color="auto" w:fill="ffffff"/>
              </w:rPr>
              <w:t xml:space="preserve">2020 </w:t>
            </w:r>
            <w:r>
              <w:rPr>
                <w:sz w:val="24"/>
                <w:szCs w:val="24"/>
                <w:shd w:val="clear" w:color="auto" w:fill="ffffff"/>
              </w:rPr>
              <w:t xml:space="preserve">года </w:t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</w:pPr>
    </w:p>
    <w:p>
      <w:pPr>
        <w:pStyle w:val="UserStyle_2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«_____»</w:t>
      </w:r>
      <w:r>
        <w:rPr>
          <w:rFonts w:ascii="Times New Roman" w:hAnsi="Times New Roman"/>
          <w:sz w:val="22"/>
          <w:szCs w:val="22"/>
        </w:rPr>
        <w:t xml:space="preserve"> ______________ 20__ г.</w:t>
      </w:r>
    </w:p>
    <w:p>
      <w:pPr>
        <w:pStyle w:val="UserStyle_24"/>
        <w:ind w:right="65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(дата заполнения</w:t>
      </w:r>
    </w:p>
    <w:p>
      <w:pPr>
        <w:pStyle w:val="UserStyle_24"/>
        <w:ind w:right="65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проверочного листа)</w:t>
      </w:r>
    </w:p>
    <w:p>
      <w:pPr>
        <w:pStyle w:val="Normal"/>
      </w:pPr>
    </w:p>
    <w:p>
      <w:pPr>
        <w:pStyle w:val="Normal"/>
      </w:pPr>
    </w:p>
    <w:tbl>
      <w:tblPr>
        <w:tblW w:w="99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5920"/>
        <w:gridCol w:w="635"/>
        <w:gridCol w:w="3378"/>
      </w:tblGrid>
      <w:tr>
        <w:trPr>
          <w:trHeight w:val="424"/>
        </w:trPr>
        <w:tc>
          <w:tcPr>
            <w:tcW w:w="5920" w:type="dxa"/>
            <w:tcBorders>
              <w:top w:val="none"/>
              <w:left w:val="none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7891" w:leader="none"/>
              </w:tabs>
              <w:ind w:left="-284" w:right="1042" w:hanging="1198"/>
              <w:rPr>
                <w:sz w:val="16"/>
              </w:rPr>
            </w:pPr>
            <w:r>
              <w:rPr>
                <w:sz w:val="16"/>
              </w:rPr>
              <w:t xml:space="preserve">(должность, Ф.И</w:t>
            </w:r>
          </w:p>
          <w:p>
            <w:pPr>
              <w:pStyle w:val="Normal"/>
              <w:jc w:val="center"/>
            </w:pPr>
          </w:p>
        </w:tc>
        <w:tc>
          <w:tcPr>
            <w:tcW w:w="635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</w:pPr>
          </w:p>
        </w:tc>
        <w:tc>
          <w:tcPr>
            <w:tcW w:w="3378" w:type="dxa"/>
            <w:tcBorders>
              <w:top w:val="none"/>
              <w:left w:val="none"/>
              <w:right w:val="none"/>
            </w:tcBorders>
            <w:textDirection w:val="lrTb"/>
            <w:vAlign w:val="top"/>
          </w:tcPr>
          <w:p>
            <w:pPr>
              <w:pStyle w:val="Normal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-108"/>
              <w:jc w:val="center"/>
            </w:pPr>
          </w:p>
        </w:tc>
      </w:tr>
      <w:tr>
        <w:trPr>
          <w:trHeight w:val="544"/>
        </w:trPr>
        <w:tc>
          <w:tcPr>
            <w:tcW w:w="5920" w:type="dxa"/>
            <w:tcBorders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tabs>
                <w:tab w:val="left" w:pos="7891" w:leader="none"/>
              </w:tabs>
              <w:ind w:right="175"/>
              <w:jc w:val="center"/>
              <w:rPr>
                <w:sz w:val="16"/>
              </w:rPr>
            </w:pPr>
            <w:r>
              <w:t xml:space="preserve">(должность, Ф.И.О. должностного лица,</w:t>
            </w:r>
            <w:r>
              <w:t xml:space="preserve"> </w:t>
            </w:r>
            <w:r>
              <w:t xml:space="preserve">проводившего проверку и заполнившего проверочный лист)</w:t>
            </w:r>
            <w:r>
              <w:rPr>
                <w:sz w:val="16"/>
              </w:rPr>
            </w:r>
          </w:p>
        </w:tc>
        <w:tc>
          <w:tcPr>
            <w:tcW w:w="635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78" w:type="dxa"/>
            <w:tcBorders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ind w:left="-108"/>
              <w:jc w:val="center"/>
              <w:rPr>
                <w:sz w:val="26"/>
                <w:szCs w:val="26"/>
              </w:rPr>
            </w:pPr>
            <w:r>
              <w:t xml:space="preserve">(подпись)</w:t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</w:pP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Рекомендации по заполнению проверочного листа:</w:t>
      </w: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позиции «ДА» проставляется отметка, если предъявляемое требование реализовано в полном объеме;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позиции «НЕТ» проставляется отметка, если предъявляемое требование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не реализовано или реализовано не в полном объеме;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позиции «Неприменимо» проставляется отметка, если предъявляемое требование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не подлежит реализации проверяемым субъектом и (или) контролю применительно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 данному проверяемому субъекту.</w:t>
      </w:r>
    </w:p>
    <w:p>
      <w:pPr>
        <w:pStyle w:val="Normal"/>
        <w:spacing w:before="10" w:after="10" w:line="216" w:lineRule="auto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s text">
    <w:panose1 w:val="03030502040406070605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8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9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2"/>
  </w:num>
  <w:num w:numId="2">
    <w:abstractNumId w:val="3"/>
  </w:num>
  <w:num w:numId="3">
    <w:abstractNumId w:val="45"/>
  </w:num>
  <w:num w:numId="4">
    <w:abstractNumId w:val="46"/>
  </w:num>
  <w:num w:numId="5">
    <w:abstractNumId w:val="35"/>
  </w:num>
  <w:num w:numId="6">
    <w:abstractNumId w:val="27"/>
  </w:num>
  <w:num w:numId="7">
    <w:abstractNumId w:val="1"/>
  </w:num>
  <w:num w:numId="8">
    <w:abstractNumId w:val="9"/>
  </w:num>
  <w:num w:numId="9">
    <w:abstractNumId w:val="34"/>
  </w:num>
  <w:num w:numId="10">
    <w:abstractNumId w:val="18"/>
  </w:num>
  <w:num w:numId="11">
    <w:abstractNumId w:val="42"/>
  </w:num>
  <w:num w:numId="12">
    <w:abstractNumId w:val="19"/>
  </w:num>
  <w:num w:numId="13">
    <w:abstractNumId w:val="23"/>
  </w:num>
  <w:num w:numId="14">
    <w:abstractNumId w:val="26"/>
  </w:num>
  <w:num w:numId="15">
    <w:abstractNumId w:val="29"/>
  </w:num>
  <w:num w:numId="16">
    <w:abstractNumId w:val="31"/>
  </w:num>
  <w:num w:numId="17">
    <w:abstractNumId w:val="33"/>
  </w:num>
  <w:num w:numId="18">
    <w:abstractNumId w:val="16"/>
  </w:num>
  <w:num w:numId="19">
    <w:abstractNumId w:val="12"/>
  </w:num>
  <w:num w:numId="20">
    <w:abstractNumId w:val="38"/>
  </w:num>
  <w:num w:numId="21">
    <w:abstractNumId w:val="6"/>
  </w:num>
  <w:num w:numId="22">
    <w:abstractNumId w:val="14"/>
  </w:num>
  <w:num w:numId="23">
    <w:abstractNumId w:val="21"/>
  </w:num>
  <w:num w:numId="24">
    <w:abstractNumId w:val="20"/>
  </w:num>
  <w:num w:numId="25">
    <w:abstractNumId w:val="28"/>
  </w:num>
  <w:num w:numId="26">
    <w:abstractNumId w:val="5"/>
  </w:num>
  <w:num w:numId="27">
    <w:abstractNumId w:val="15"/>
  </w:num>
  <w:num w:numId="28">
    <w:abstractNumId w:val="10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2"/>
  </w:num>
  <w:num w:numId="34">
    <w:abstractNumId w:val="36"/>
  </w:num>
  <w:num w:numId="35">
    <w:abstractNumId w:val="11"/>
  </w:num>
  <w:num w:numId="36">
    <w:abstractNumId w:val="8"/>
  </w:num>
  <w:num w:numId="37">
    <w:abstractNumId w:val="13"/>
  </w:num>
  <w:num w:numId="38">
    <w:abstractNumId w:val="24"/>
  </w:num>
  <w:num w:numId="39">
    <w:abstractNumId w:val="17"/>
  </w:num>
  <w:num w:numId="40">
    <w:abstractNumId w:val="41"/>
  </w:num>
  <w:num w:numId="41">
    <w:abstractNumId w:val="0"/>
  </w:num>
  <w:num w:numId="42">
    <w:abstractNumId w:val="25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0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UserStyle_0"/>
    <w:pPr>
      <w:keepNext/>
      <w:outlineLvl w:val="0"/>
    </w:pPr>
    <w:rPr>
      <w:bCs/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+ Полужирный;Интервал 3 pt"/>
    <w:basedOn w:val="UserStyle_15"/>
    <w:next w:val="UserStyle_21"/>
    <w:link w:val="Normal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UserStyle_22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Normal"/>
    <w:next w:val="UserStyle_22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3">
    <w:name w:val="Гипертекстовая ссылка"/>
    <w:basedOn w:val="NormalCharacter"/>
    <w:next w:val="UserStyle_23"/>
    <w:link w:val="Normal"/>
    <w:rPr>
      <w:color w:val="106BBE"/>
    </w:rPr>
  </w:style>
  <w:style w:type="character" w:styleId="UserStyle_0">
    <w:name w:val="Заголовок 1 Знак"/>
    <w:basedOn w:val="NormalCharacter"/>
    <w:next w:val="UserStyle_0"/>
    <w:link w:val="Heading1"/>
    <w:rPr>
      <w:bCs/>
      <w:sz w:val="28"/>
    </w:rPr>
  </w:style>
  <w:style w:type="paragraph" w:styleId="UserStyle_24">
    <w:name w:val="Таблицы (моноширинный)"/>
    <w:basedOn w:val="Normal"/>
    <w:next w:val="Normal"/>
    <w:link w:val="Normal"/>
    <w:pPr>
      <w:widowControl w:val="off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