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AD36A4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AD36A4">
              <w:rPr>
                <w:b/>
                <w:sz w:val="24"/>
                <w:szCs w:val="24"/>
              </w:rPr>
              <w:t>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D2066C" w:rsidRDefault="00D2066C" w:rsidP="00D206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</w:rPr>
              <w:t>администрации Грайворонского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№6-п от 23 января 2019 года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36CB9">
              <w:rPr>
                <w:b/>
                <w:sz w:val="24"/>
                <w:szCs w:val="24"/>
              </w:rPr>
              <w:t>2</w:t>
            </w:r>
            <w:r w:rsidR="00D2066C">
              <w:rPr>
                <w:b/>
                <w:sz w:val="24"/>
                <w:szCs w:val="24"/>
              </w:rPr>
              <w:t>5</w:t>
            </w:r>
            <w:r w:rsidR="00F36CB9">
              <w:rPr>
                <w:b/>
                <w:sz w:val="24"/>
                <w:szCs w:val="24"/>
              </w:rPr>
              <w:t xml:space="preserve"> 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4674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2066C">
              <w:rPr>
                <w:b/>
                <w:sz w:val="24"/>
                <w:szCs w:val="24"/>
              </w:rPr>
              <w:t>11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6CB9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4674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составе ежегодного доклада об антимонопольном комплаенсе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 сайте администрации Грайворонского городского округа  в разделе «Антимонопольный комплаенс»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>управления экономического развития Чепурная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14674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92ECB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</cp:revision>
  <cp:lastPrinted>2020-08-28T07:40:00Z</cp:lastPrinted>
  <dcterms:created xsi:type="dcterms:W3CDTF">2021-02-20T08:39:00Z</dcterms:created>
  <dcterms:modified xsi:type="dcterms:W3CDTF">2021-03-02T11:17:00Z</dcterms:modified>
</cp:coreProperties>
</file>