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FE5474" w:rsidRDefault="00D32B9A" w:rsidP="00D32B9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b/>
                <w:sz w:val="28"/>
                <w:szCs w:val="28"/>
              </w:rPr>
              <w:t>норматива стоимости одного квадратного метра общей площади жилья</w:t>
            </w:r>
            <w:proofErr w:type="gramEnd"/>
            <w:r>
              <w:rPr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b/>
                <w:sz w:val="28"/>
                <w:szCs w:val="28"/>
              </w:rPr>
              <w:t>Грайворонскому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городскому округу на второе полугодие 2021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  <w:p w:rsidR="0043499E" w:rsidRPr="00AD36A4" w:rsidRDefault="00AD36A4" w:rsidP="00E82302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D32B9A">
              <w:rPr>
                <w:b/>
                <w:sz w:val="24"/>
                <w:szCs w:val="24"/>
              </w:rPr>
              <w:t>2</w:t>
            </w:r>
            <w:r w:rsidR="004A6C6F">
              <w:rPr>
                <w:b/>
                <w:sz w:val="24"/>
                <w:szCs w:val="24"/>
              </w:rPr>
              <w:t>1</w:t>
            </w:r>
            <w:r w:rsidR="00F36CB9">
              <w:rPr>
                <w:b/>
                <w:sz w:val="24"/>
                <w:szCs w:val="24"/>
              </w:rPr>
              <w:t xml:space="preserve"> </w:t>
            </w:r>
            <w:r w:rsidR="002252A6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D32B9A">
              <w:rPr>
                <w:b/>
                <w:sz w:val="24"/>
                <w:szCs w:val="24"/>
              </w:rPr>
              <w:t>0</w:t>
            </w:r>
            <w:r w:rsidR="00495693">
              <w:rPr>
                <w:b/>
                <w:sz w:val="24"/>
                <w:szCs w:val="24"/>
              </w:rPr>
              <w:t>2</w:t>
            </w:r>
            <w:r w:rsidR="00D32B9A">
              <w:rPr>
                <w:b/>
                <w:sz w:val="24"/>
                <w:szCs w:val="24"/>
              </w:rPr>
              <w:t xml:space="preserve"> июл</w:t>
            </w:r>
            <w:r w:rsidR="003612B5">
              <w:rPr>
                <w:b/>
                <w:sz w:val="24"/>
                <w:szCs w:val="24"/>
              </w:rPr>
              <w:t>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701207">
              <w:rPr>
                <w:b/>
                <w:sz w:val="24"/>
                <w:szCs w:val="24"/>
              </w:rPr>
              <w:t>1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192BD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Грайворонского городского округа</w:t>
            </w:r>
            <w:r w:rsidR="00734DC7"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 w:rsidR="004E6C76">
              <w:rPr>
                <w:color w:val="000000" w:themeColor="text1"/>
                <w:sz w:val="24"/>
                <w:szCs w:val="24"/>
              </w:rPr>
              <w:t xml:space="preserve"> за 202</w:t>
            </w:r>
            <w:r w:rsidR="00AD14E1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 w:rsidR="004E6C76">
              <w:rPr>
                <w:color w:val="000000" w:themeColor="text1"/>
                <w:sz w:val="24"/>
                <w:szCs w:val="24"/>
              </w:rPr>
              <w:t>до 10.02.202</w:t>
            </w:r>
            <w:r w:rsidR="00AD14E1">
              <w:rPr>
                <w:color w:val="000000" w:themeColor="text1"/>
                <w:sz w:val="24"/>
                <w:szCs w:val="24"/>
              </w:rPr>
              <w:t>2</w:t>
            </w:r>
            <w:r w:rsidR="009651D3">
              <w:rPr>
                <w:color w:val="000000" w:themeColor="text1"/>
                <w:sz w:val="24"/>
                <w:szCs w:val="24"/>
              </w:rPr>
              <w:t xml:space="preserve"> года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87AD3"/>
    <w:rsid w:val="00095A46"/>
    <w:rsid w:val="000A51C2"/>
    <w:rsid w:val="000B5C4E"/>
    <w:rsid w:val="00127289"/>
    <w:rsid w:val="001310D7"/>
    <w:rsid w:val="0014051C"/>
    <w:rsid w:val="001506E2"/>
    <w:rsid w:val="00173F3F"/>
    <w:rsid w:val="001839A3"/>
    <w:rsid w:val="001863CE"/>
    <w:rsid w:val="001874E5"/>
    <w:rsid w:val="001923DD"/>
    <w:rsid w:val="00192BD4"/>
    <w:rsid w:val="001A6F54"/>
    <w:rsid w:val="001F6E1A"/>
    <w:rsid w:val="002000A1"/>
    <w:rsid w:val="00201A07"/>
    <w:rsid w:val="00205BE1"/>
    <w:rsid w:val="00211898"/>
    <w:rsid w:val="002247D1"/>
    <w:rsid w:val="002252A6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2295F"/>
    <w:rsid w:val="00325E41"/>
    <w:rsid w:val="0033097F"/>
    <w:rsid w:val="003508B4"/>
    <w:rsid w:val="003612B5"/>
    <w:rsid w:val="003A1063"/>
    <w:rsid w:val="003A41A1"/>
    <w:rsid w:val="003E1F14"/>
    <w:rsid w:val="00401AAF"/>
    <w:rsid w:val="00422B3D"/>
    <w:rsid w:val="004243DA"/>
    <w:rsid w:val="0043499E"/>
    <w:rsid w:val="00456882"/>
    <w:rsid w:val="0047125B"/>
    <w:rsid w:val="00477814"/>
    <w:rsid w:val="00485179"/>
    <w:rsid w:val="00495693"/>
    <w:rsid w:val="004A1FBF"/>
    <w:rsid w:val="004A234D"/>
    <w:rsid w:val="004A6C6F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0B4E"/>
    <w:rsid w:val="00727114"/>
    <w:rsid w:val="0073374D"/>
    <w:rsid w:val="00734DC7"/>
    <w:rsid w:val="00750E24"/>
    <w:rsid w:val="00763944"/>
    <w:rsid w:val="00763CD1"/>
    <w:rsid w:val="0076740D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6B50"/>
    <w:rsid w:val="008D182E"/>
    <w:rsid w:val="008E480D"/>
    <w:rsid w:val="008E6D06"/>
    <w:rsid w:val="008F14BA"/>
    <w:rsid w:val="00901D3E"/>
    <w:rsid w:val="009127EB"/>
    <w:rsid w:val="00917384"/>
    <w:rsid w:val="00921F8F"/>
    <w:rsid w:val="00926A50"/>
    <w:rsid w:val="009651D3"/>
    <w:rsid w:val="00985BD5"/>
    <w:rsid w:val="00992A56"/>
    <w:rsid w:val="0099346D"/>
    <w:rsid w:val="009A752D"/>
    <w:rsid w:val="009C12AD"/>
    <w:rsid w:val="009D165A"/>
    <w:rsid w:val="009E21AF"/>
    <w:rsid w:val="009F4ACE"/>
    <w:rsid w:val="00A34DEA"/>
    <w:rsid w:val="00A60F38"/>
    <w:rsid w:val="00A70B8A"/>
    <w:rsid w:val="00A764F2"/>
    <w:rsid w:val="00A769F1"/>
    <w:rsid w:val="00A8148E"/>
    <w:rsid w:val="00A929F6"/>
    <w:rsid w:val="00A9617D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0E0A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32B9A"/>
    <w:rsid w:val="00D4082C"/>
    <w:rsid w:val="00D44566"/>
    <w:rsid w:val="00D67257"/>
    <w:rsid w:val="00D70F23"/>
    <w:rsid w:val="00D848D9"/>
    <w:rsid w:val="00DA34C5"/>
    <w:rsid w:val="00DB5434"/>
    <w:rsid w:val="00DE74F6"/>
    <w:rsid w:val="00E01397"/>
    <w:rsid w:val="00E616A9"/>
    <w:rsid w:val="00E8040A"/>
    <w:rsid w:val="00E82302"/>
    <w:rsid w:val="00EA7EAF"/>
    <w:rsid w:val="00EB32B5"/>
    <w:rsid w:val="00ED16EA"/>
    <w:rsid w:val="00ED28E8"/>
    <w:rsid w:val="00EE2EB7"/>
    <w:rsid w:val="00EE6F6B"/>
    <w:rsid w:val="00F0041F"/>
    <w:rsid w:val="00F2318E"/>
    <w:rsid w:val="00F26CEC"/>
    <w:rsid w:val="00F36CB9"/>
    <w:rsid w:val="00F378AC"/>
    <w:rsid w:val="00F72EBB"/>
    <w:rsid w:val="00F82E12"/>
    <w:rsid w:val="00FB46EA"/>
    <w:rsid w:val="00FB4724"/>
    <w:rsid w:val="00FB5637"/>
    <w:rsid w:val="00FC1D23"/>
    <w:rsid w:val="00FD78C9"/>
    <w:rsid w:val="00FE1F1B"/>
    <w:rsid w:val="00FE5474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33</cp:revision>
  <cp:lastPrinted>2021-06-21T08:48:00Z</cp:lastPrinted>
  <dcterms:created xsi:type="dcterms:W3CDTF">2021-02-20T08:39:00Z</dcterms:created>
  <dcterms:modified xsi:type="dcterms:W3CDTF">2021-06-21T08:48:00Z</dcterms:modified>
</cp:coreProperties>
</file>