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>
              <w:rPr>
                <w:b/>
                <w:szCs w:val="28"/>
              </w:rPr>
              <w:t>Грайворонского</w:t>
            </w:r>
            <w:proofErr w:type="spellEnd"/>
            <w:r>
              <w:rPr>
                <w:b/>
                <w:szCs w:val="28"/>
              </w:rPr>
              <w:t xml:space="preserve"> городского округа от 20 ноября 2019 года №716 (в редакции от 01.12.2020 г. №809)»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DA06A2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2021-10-15T08:42:00Z</cp:lastPrinted>
  <dcterms:created xsi:type="dcterms:W3CDTF">2021-02-20T08:39:00Z</dcterms:created>
  <dcterms:modified xsi:type="dcterms:W3CDTF">2021-10-15T08:42:00Z</dcterms:modified>
</cp:coreProperties>
</file>