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B0CFF" w:rsidRDefault="008B0CFF" w:rsidP="008B0CF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589">
              <w:rPr>
                <w:b/>
                <w:sz w:val="28"/>
                <w:szCs w:val="28"/>
              </w:rPr>
              <w:t>Об утверждении программы «Развитие потребительского рынка Грайворонского городского округа до 2030 года»</w:t>
            </w:r>
          </w:p>
          <w:p w:rsidR="0043499E" w:rsidRPr="00AD36A4" w:rsidRDefault="0043499E" w:rsidP="006B196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35627">
              <w:rPr>
                <w:b/>
                <w:sz w:val="24"/>
                <w:szCs w:val="24"/>
              </w:rPr>
              <w:t>14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935627">
              <w:rPr>
                <w:b/>
                <w:sz w:val="24"/>
                <w:szCs w:val="24"/>
              </w:rPr>
              <w:t>25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2BB1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196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0CFF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23A8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6B1961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2022-03-15T06:21:00Z</cp:lastPrinted>
  <dcterms:created xsi:type="dcterms:W3CDTF">2022-03-15T06:22:00Z</dcterms:created>
  <dcterms:modified xsi:type="dcterms:W3CDTF">2022-03-15T06:22:00Z</dcterms:modified>
</cp:coreProperties>
</file>