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32"/>
        <w:gridCol w:w="2264"/>
        <w:gridCol w:w="1002"/>
        <w:gridCol w:w="459"/>
        <w:gridCol w:w="1017"/>
        <w:gridCol w:w="1232"/>
        <w:gridCol w:w="1362"/>
        <w:gridCol w:w="1690"/>
      </w:tblGrid>
      <w:tr w:rsidR="003B34E9" w:rsidTr="00F41F76">
        <w:trPr>
          <w:trHeight w:hRule="exact" w:val="115"/>
        </w:trPr>
        <w:tc>
          <w:tcPr>
            <w:tcW w:w="10717" w:type="dxa"/>
            <w:gridSpan w:val="9"/>
          </w:tcPr>
          <w:p w:rsidR="003B34E9" w:rsidRDefault="003B34E9"/>
        </w:tc>
      </w:tr>
      <w:tr w:rsidR="003B34E9" w:rsidTr="00F41F76">
        <w:trPr>
          <w:trHeight w:hRule="exact" w:val="558"/>
        </w:trPr>
        <w:tc>
          <w:tcPr>
            <w:tcW w:w="10717" w:type="dxa"/>
            <w:gridSpan w:val="9"/>
            <w:shd w:val="clear" w:color="auto" w:fill="FFFFFF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ТИПОВАЯ ФОРМА ДОКЛАДА</w:t>
            </w:r>
          </w:p>
        </w:tc>
      </w:tr>
      <w:tr w:rsidR="003B34E9" w:rsidTr="00F41F76">
        <w:trPr>
          <w:trHeight w:hRule="exact" w:val="674"/>
        </w:trPr>
        <w:tc>
          <w:tcPr>
            <w:tcW w:w="10717" w:type="dxa"/>
            <w:gridSpan w:val="9"/>
            <w:shd w:val="clear" w:color="auto" w:fill="FFFFFF"/>
            <w:vAlign w:val="bottom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Бондарев Геннадий Иванович</w:t>
            </w:r>
          </w:p>
        </w:tc>
      </w:tr>
      <w:tr w:rsidR="003B34E9" w:rsidTr="00F41F76">
        <w:trPr>
          <w:trHeight w:hRule="exact" w:val="802"/>
        </w:trPr>
        <w:tc>
          <w:tcPr>
            <w:tcW w:w="1691" w:type="dxa"/>
            <w:gridSpan w:val="2"/>
          </w:tcPr>
          <w:p w:rsidR="003B34E9" w:rsidRDefault="003B34E9"/>
        </w:tc>
        <w:tc>
          <w:tcPr>
            <w:tcW w:w="7336" w:type="dxa"/>
            <w:gridSpan w:val="6"/>
            <w:tcBorders>
              <w:top w:val="single" w:sz="5" w:space="0" w:color="000000"/>
            </w:tcBorders>
            <w:shd w:val="clear" w:color="auto" w:fill="FFFFFF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Ф.И.О., официально наименование должности руководителя муниципального образования области</w:t>
            </w: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(городского округа, муниципального района)</w:t>
            </w:r>
          </w:p>
        </w:tc>
        <w:tc>
          <w:tcPr>
            <w:tcW w:w="1690" w:type="dxa"/>
          </w:tcPr>
          <w:p w:rsidR="003B34E9" w:rsidRDefault="003B34E9"/>
        </w:tc>
      </w:tr>
      <w:tr w:rsidR="003B34E9" w:rsidTr="00F41F76">
        <w:trPr>
          <w:trHeight w:hRule="exact" w:val="788"/>
        </w:trPr>
        <w:tc>
          <w:tcPr>
            <w:tcW w:w="10717" w:type="dxa"/>
            <w:gridSpan w:val="9"/>
            <w:shd w:val="clear" w:color="auto" w:fill="FFFFFF"/>
            <w:vAlign w:val="bottom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 достигнутых значениях ключевых показателей эффективности деятельности управленческой команды органов местного самоуправления</w:t>
            </w:r>
          </w:p>
        </w:tc>
      </w:tr>
      <w:tr w:rsidR="003B34E9" w:rsidTr="00F41F76">
        <w:trPr>
          <w:trHeight w:hRule="exact" w:val="559"/>
        </w:trPr>
        <w:tc>
          <w:tcPr>
            <w:tcW w:w="10717" w:type="dxa"/>
            <w:gridSpan w:val="9"/>
            <w:shd w:val="clear" w:color="auto" w:fill="FFFFFF"/>
            <w:vAlign w:val="center"/>
          </w:tcPr>
          <w:p w:rsidR="003B34E9" w:rsidRDefault="003B34E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Грайворонский городской округ</w:t>
            </w:r>
          </w:p>
        </w:tc>
      </w:tr>
      <w:tr w:rsidR="003B34E9" w:rsidTr="00F41F76">
        <w:trPr>
          <w:trHeight w:hRule="exact" w:val="788"/>
        </w:trPr>
        <w:tc>
          <w:tcPr>
            <w:tcW w:w="1691" w:type="dxa"/>
            <w:gridSpan w:val="2"/>
          </w:tcPr>
          <w:p w:rsidR="003B34E9" w:rsidRDefault="003B34E9"/>
        </w:tc>
        <w:tc>
          <w:tcPr>
            <w:tcW w:w="7336" w:type="dxa"/>
            <w:gridSpan w:val="6"/>
            <w:tcBorders>
              <w:top w:val="single" w:sz="5" w:space="0" w:color="000000"/>
            </w:tcBorders>
            <w:shd w:val="clear" w:color="auto" w:fill="FFFFFF"/>
            <w:vAlign w:val="bottom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Официальное наименование муниципального образования области</w:t>
            </w: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(городского округа,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района)</w:t>
            </w: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 2019 год</w:t>
            </w:r>
          </w:p>
        </w:tc>
        <w:tc>
          <w:tcPr>
            <w:tcW w:w="1690" w:type="dxa"/>
          </w:tcPr>
          <w:p w:rsidR="003B34E9" w:rsidRDefault="003B34E9"/>
        </w:tc>
      </w:tr>
      <w:tr w:rsidR="003B34E9" w:rsidTr="00F41F76">
        <w:trPr>
          <w:trHeight w:hRule="exact" w:val="673"/>
        </w:trPr>
        <w:tc>
          <w:tcPr>
            <w:tcW w:w="10717" w:type="dxa"/>
            <w:gridSpan w:val="9"/>
            <w:shd w:val="clear" w:color="auto" w:fill="FFFFFF"/>
            <w:vAlign w:val="center"/>
          </w:tcPr>
          <w:p w:rsidR="003B34E9" w:rsidRDefault="00154DE5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Подпись _____________</w:t>
            </w:r>
          </w:p>
        </w:tc>
      </w:tr>
      <w:tr w:rsidR="003B34E9" w:rsidTr="00F41F76">
        <w:trPr>
          <w:trHeight w:hRule="exact" w:val="1706"/>
        </w:trPr>
        <w:tc>
          <w:tcPr>
            <w:tcW w:w="5416" w:type="dxa"/>
            <w:gridSpan w:val="5"/>
          </w:tcPr>
          <w:p w:rsidR="003B34E9" w:rsidRDefault="003B34E9"/>
        </w:tc>
        <w:tc>
          <w:tcPr>
            <w:tcW w:w="5301" w:type="dxa"/>
            <w:gridSpan w:val="4"/>
            <w:shd w:val="clear" w:color="auto" w:fill="FFFFFF"/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${STAMP}</w:t>
            </w:r>
          </w:p>
        </w:tc>
      </w:tr>
      <w:tr w:rsidR="003B34E9" w:rsidTr="00F41F76">
        <w:trPr>
          <w:trHeight w:hRule="exact" w:val="558"/>
        </w:trPr>
        <w:tc>
          <w:tcPr>
            <w:tcW w:w="10717" w:type="dxa"/>
            <w:gridSpan w:val="9"/>
            <w:shd w:val="clear" w:color="auto" w:fill="FFFFFF"/>
            <w:vAlign w:val="center"/>
          </w:tcPr>
          <w:p w:rsidR="003B34E9" w:rsidRDefault="00154DE5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__ ______ _____г.</w:t>
            </w:r>
          </w:p>
        </w:tc>
      </w:tr>
      <w:tr w:rsidR="003B34E9" w:rsidTr="00F41F76">
        <w:trPr>
          <w:trHeight w:hRule="exact" w:val="903"/>
        </w:trPr>
        <w:tc>
          <w:tcPr>
            <w:tcW w:w="10717" w:type="dxa"/>
            <w:gridSpan w:val="9"/>
            <w:shd w:val="clear" w:color="auto" w:fill="FFFFFF"/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Ключевые показатели эффективности деятельности управленческой команды органов местного самоуправления</w:t>
            </w:r>
          </w:p>
        </w:tc>
      </w:tr>
      <w:tr w:rsidR="003B34E9" w:rsidTr="00F41F76">
        <w:trPr>
          <w:trHeight w:hRule="exact" w:val="673"/>
        </w:trPr>
        <w:tc>
          <w:tcPr>
            <w:tcW w:w="10717" w:type="dxa"/>
            <w:gridSpan w:val="9"/>
            <w:shd w:val="clear" w:color="auto" w:fill="FFFFFF"/>
            <w:vAlign w:val="center"/>
          </w:tcPr>
          <w:p w:rsidR="003B34E9" w:rsidRDefault="003B34E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Грайворонский городской округ</w:t>
            </w:r>
          </w:p>
        </w:tc>
      </w:tr>
      <w:tr w:rsidR="003B34E9" w:rsidTr="00F41F76">
        <w:trPr>
          <w:trHeight w:hRule="exact" w:val="574"/>
        </w:trPr>
        <w:tc>
          <w:tcPr>
            <w:tcW w:w="1691" w:type="dxa"/>
            <w:gridSpan w:val="2"/>
          </w:tcPr>
          <w:p w:rsidR="003B34E9" w:rsidRDefault="003B34E9"/>
        </w:tc>
        <w:tc>
          <w:tcPr>
            <w:tcW w:w="7336" w:type="dxa"/>
            <w:gridSpan w:val="6"/>
            <w:tcBorders>
              <w:top w:val="single" w:sz="5" w:space="0" w:color="000000"/>
            </w:tcBorders>
            <w:shd w:val="clear" w:color="auto" w:fill="FFFFFF"/>
          </w:tcPr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Официальное наименование муниципального образования области</w:t>
            </w:r>
          </w:p>
          <w:p w:rsidR="003B34E9" w:rsidRDefault="00154D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(городского округа, муниципального района)</w:t>
            </w:r>
          </w:p>
        </w:tc>
        <w:tc>
          <w:tcPr>
            <w:tcW w:w="1690" w:type="dxa"/>
          </w:tcPr>
          <w:p w:rsidR="003B34E9" w:rsidRDefault="003B34E9"/>
        </w:tc>
      </w:tr>
      <w:tr w:rsidR="003B34E9" w:rsidTr="00F41F76">
        <w:trPr>
          <w:trHeight w:hRule="exact" w:val="100"/>
        </w:trPr>
        <w:tc>
          <w:tcPr>
            <w:tcW w:w="10717" w:type="dxa"/>
            <w:gridSpan w:val="9"/>
          </w:tcPr>
          <w:p w:rsidR="003B34E9" w:rsidRDefault="003B34E9"/>
        </w:tc>
      </w:tr>
      <w:tr w:rsidR="003B34E9" w:rsidTr="00F41F76">
        <w:trPr>
          <w:trHeight w:hRule="exact" w:val="114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</w:tcPr>
          <w:p w:rsidR="003B34E9" w:rsidRDefault="003B34E9"/>
        </w:tc>
      </w:tr>
      <w:tr w:rsidR="003B34E9" w:rsidTr="00F41F76">
        <w:trPr>
          <w:trHeight w:hRule="exact" w:val="192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№</w:t>
            </w:r>
          </w:p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Наименование КПЭ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Единица измерения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Значение КПЭ за год, предшествующий отчетному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Значение КПЭ за отчетный год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Целевое значение КПЭ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Примечание (краткое обоснование достигнутых КПЭ)</w:t>
            </w:r>
          </w:p>
        </w:tc>
      </w:tr>
      <w:tr w:rsidR="003B34E9" w:rsidTr="00F41F76">
        <w:trPr>
          <w:trHeight w:hRule="exact" w:val="459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Специфические КПЭ</w:t>
            </w:r>
          </w:p>
        </w:tc>
      </w:tr>
      <w:tr w:rsidR="003B34E9" w:rsidTr="00F41F76">
        <w:trPr>
          <w:trHeight w:hRule="exact" w:val="286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доверия к власти</w:t>
            </w:r>
          </w:p>
        </w:tc>
      </w:tr>
      <w:tr w:rsidR="003B34E9" w:rsidTr="00F41F76">
        <w:trPr>
          <w:trHeight w:hRule="exact" w:val="260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доверия к власти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0.75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 основании результатов социологического исследования, проводимых АНО «Консалтинговое агентство социального мониторинга и массовых коммуникаций» в рамках реализации государственной программы Белгородской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«Обеспечение населения Белгородской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информацией о приоритетных направлениях региональной политики», утвержденной постановлением Правительства Белгородской области от 16 декабря 2013 года № 511-пп</w:t>
            </w:r>
          </w:p>
        </w:tc>
      </w:tr>
      <w:tr w:rsidR="003B34E9" w:rsidTr="00F41F76">
        <w:trPr>
          <w:trHeight w:hRule="exact" w:val="2608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</w:tr>
      <w:tr w:rsidR="003B34E9" w:rsidTr="00F41F76">
        <w:trPr>
          <w:trHeight w:hRule="exact" w:val="286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экономического развития</w:t>
            </w:r>
          </w:p>
        </w:tc>
      </w:tr>
      <w:tr w:rsidR="003B34E9" w:rsidTr="00F41F76">
        <w:trPr>
          <w:trHeight w:hRule="exact" w:val="154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субъектов малого и среднего предпринимательства,</w:t>
            </w:r>
          </w:p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индивидуальных предпринимателей, в расчете на 10 000 человек населения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242.23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состоянию на 01.01.2020 года в малом бизнесе задействовано около 1,5 тыс. человек (20,9%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т общей численности экономически активного населения). Оборот в сфере малого и среднего предпринимательства за 2019 год составил 1758,3 млн рублей, темп роста к 2018 году составил 101,9%. </w:t>
            </w:r>
          </w:p>
        </w:tc>
      </w:tr>
      <w:tr w:rsidR="003B34E9" w:rsidTr="00F41F76">
        <w:trPr>
          <w:trHeight w:hRule="exact" w:val="1533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</w:tr>
      <w:tr w:rsidR="003B34E9" w:rsidTr="00F41F76">
        <w:trPr>
          <w:trHeight w:hRule="exact" w:val="75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Содействие развитию конкуренции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9.83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Рейтинг сформирован согласно Стандарта развития конкуренции</w:t>
            </w:r>
          </w:p>
        </w:tc>
      </w:tr>
      <w:tr w:rsidR="003B34E9" w:rsidTr="00F41F76">
        <w:trPr>
          <w:trHeight w:hRule="exact" w:val="2866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Среднемесячная номинальная начисленная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рубль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29206.1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28888.88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 указанный период выше средне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 показателя городского округа среднемесячная заработная плата по видам экономической деятельности: сельское, лесное хозяйство, охота, рыболовство и рыбоводство – 30818 рублей; в обрабатывающих производствах – 35639 рублей; в предприятиях по обеспечению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лектрической энергией, газом и паром – 36765 рублей; в строительстве – 33345 рублей; в транспортировке и хранении – 33755 рублей; деятельность финансовая и страховая – 28922 рубля; государственное управление и обеспечение военной безопасности, социальное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беспечение – 31563 рубля.</w:t>
            </w:r>
          </w:p>
        </w:tc>
      </w:tr>
      <w:tr w:rsidR="003B34E9" w:rsidTr="00F41F76">
        <w:trPr>
          <w:trHeight w:hRule="exact" w:val="1791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</w:tr>
      <w:tr w:rsidR="003B34E9" w:rsidTr="00F41F76">
        <w:trPr>
          <w:trHeight w:hRule="exact" w:val="1791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4E9" w:rsidRDefault="003B34E9"/>
        </w:tc>
      </w:tr>
      <w:tr w:rsidR="003B34E9" w:rsidTr="00F41F76">
        <w:trPr>
          <w:trHeight w:hRule="exact" w:val="217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инвестиций в основной капитал (без субъектов малого предпринимательства и параметров неформальной деятельности)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66.2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104.6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Снижение объема инвестиций в городском округе идет по причине завершения строительства крупных объектов в сельском хозяйстве (ООО «Грайворонский свинокомплекс» в 2018 году)</w:t>
            </w:r>
          </w:p>
        </w:tc>
      </w:tr>
      <w:tr w:rsidR="003B34E9" w:rsidTr="00F41F76">
        <w:trPr>
          <w:trHeight w:hRule="exact" w:val="58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6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Воспроизводство плодородия почв за счет применения органических удобрений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3B34E9" w:rsidTr="00F41F76">
        <w:trPr>
          <w:trHeight w:hRule="exact" w:val="20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(для муниципальных образований области, участвующих в отчетном году в реализации федерального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кта «Дорожная сеть» национального проекта «Безопасные и качественные автомобильные дороги» (далее – национальный проект)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Грайворонский городской округ не участвует в реализации национального проекта "Безопасные и качественные автомобильные 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и"</w:t>
            </w:r>
          </w:p>
        </w:tc>
      </w:tr>
      <w:tr w:rsidR="003B34E9" w:rsidTr="00F41F76">
        <w:trPr>
          <w:trHeight w:hRule="exact" w:val="301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3B34E9" w:rsidRDefault="00154DE5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социального обеспечения</w:t>
            </w:r>
          </w:p>
        </w:tc>
      </w:tr>
      <w:tr w:rsidR="003B34E9" w:rsidTr="00F41F76">
        <w:trPr>
          <w:trHeight w:hRule="exact" w:val="58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граждан, старше 18 лет прошедших профилактические осмотры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не достигнут</w:t>
            </w:r>
          </w:p>
        </w:tc>
      </w:tr>
      <w:tr w:rsidR="003B34E9" w:rsidTr="00F41F76">
        <w:trPr>
          <w:trHeight w:hRule="exact" w:val="5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граждан, старше 18 лет прошедших диспансеризацию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5056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4546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3B34E9" w:rsidTr="00F41F76">
        <w:trPr>
          <w:trHeight w:hRule="exact" w:val="57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Выполнение плана профилактических прививок, включенных в национальный календарь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100.18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3B34E9" w:rsidTr="00F41F76">
        <w:trPr>
          <w:trHeight w:hRule="exact" w:val="77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вакцинации против гриппа, за счет работодателей, работающего населения, не вошедшего в план профилактических прививок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3B34E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3B34E9" w:rsidRDefault="00154D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F41F76" w:rsidTr="00F41F76">
        <w:trPr>
          <w:trHeight w:hRule="exact" w:val="111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F41F76" w:rsidTr="00F41F76">
        <w:trPr>
          <w:trHeight w:hRule="exact" w:val="164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Белгородской области и иных регионов Российской Федерации, в том числе ВУЗы Белгородской области и иных регионов Российской Федерации на уровень СПО (обучающиеся 9 классов)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45.45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не достигнут</w:t>
            </w:r>
          </w:p>
        </w:tc>
      </w:tr>
      <w:tr w:rsidR="00F41F76" w:rsidTr="00F41F76">
        <w:trPr>
          <w:trHeight w:hRule="exact" w:val="164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Белгородской области и иных регионов Российской Федерации, в том числе ВУЗы Белгородской области и иных регионов Российской Федерации на уровень СПО (обучающиеся 11 классов)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26.89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bookmarkEnd w:id="0"/>
      <w:tr w:rsidR="00F41F76" w:rsidTr="00F41F76">
        <w:trPr>
          <w:trHeight w:hRule="exact" w:val="301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41F76" w:rsidRDefault="00F41F76" w:rsidP="00F41F7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качества жизни населения</w:t>
            </w:r>
          </w:p>
        </w:tc>
      </w:tr>
      <w:tr w:rsidR="00F41F76" w:rsidTr="00F41F76">
        <w:trPr>
          <w:trHeight w:hRule="exact" w:val="1719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Естественный прирост населения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-6.76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-7.8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-6.3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Ежегодно в округе происходит снижение количества женщин фертильного возраста, происходит общее старение населения, что влечет за собой снижение показателя. В округе проводятся мероприятия, направленные на повышение ожидаемой продолжительности жизни населения в рамках реализации областного проекта «Управление здоровьем».</w:t>
            </w:r>
          </w:p>
        </w:tc>
      </w:tr>
      <w:tr w:rsidR="00F41F76" w:rsidTr="00F41F76">
        <w:trPr>
          <w:trHeight w:hRule="exact" w:val="1705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</w:tr>
      <w:tr w:rsidR="00F41F76" w:rsidTr="00F41F76">
        <w:trPr>
          <w:trHeight w:hRule="exact" w:val="20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семей, построивших индивидуальный жилой дом за счет собственных и заемных средств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 2019 год на территории городского округа введено в эксплуатацию                    71 индивидуальный жилой дом общей площадью 11045 кв. м.                                        (за 2018 год – 93 дома общей площадью 11009 кв.м.).</w:t>
            </w:r>
          </w:p>
        </w:tc>
      </w:tr>
      <w:tr w:rsidR="00F41F76" w:rsidTr="00F41F76">
        <w:trPr>
          <w:trHeight w:hRule="exact" w:val="41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17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доступности жилья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  <w:tr w:rsidR="00F41F76" w:rsidTr="00F41F76">
        <w:trPr>
          <w:trHeight w:hRule="exact" w:val="2866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благоустроенных территорий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рамках программы «Формирование комфортной городской среды» было выполнено благоустройство двух общественных территорий: спортивно-парковая зона в с.Головчино «Сквер спортивный» и парк имени В.Г.Шухова в г.Грайвороне. Благоустроены четыре дворовых территории в г.Грайвороне по ул.Кирова 34 и 38, ул.Мира 26а и ул.Ленина 13. А также благоустроена зона отдыха «Петровская круча», на реализацию проекта был вручен грант в размере 40 млн рублей. В канун Нового года, 27 декабря 2019 года, обновленная Петровская круча открылась для посетителей.</w:t>
            </w:r>
          </w:p>
        </w:tc>
      </w:tr>
      <w:tr w:rsidR="00F41F76" w:rsidTr="00F41F76">
        <w:trPr>
          <w:trHeight w:hRule="exact" w:val="1519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</w:tr>
      <w:tr w:rsidR="00F41F76" w:rsidTr="00F41F76">
        <w:trPr>
          <w:trHeight w:hRule="exact" w:val="1533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</w:tr>
      <w:tr w:rsidR="00F41F76" w:rsidTr="00F41F76">
        <w:trPr>
          <w:trHeight w:hRule="exact" w:val="182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46.24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64.81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 год стал прорывом в обеспечении жителей округа чистой питьевой водой. Так в течение года были выполнены работы на сумму порядка 135,5 млн рублей</w:t>
            </w:r>
          </w:p>
        </w:tc>
      </w:tr>
      <w:tr w:rsidR="00F41F76" w:rsidTr="00F41F76">
        <w:trPr>
          <w:trHeight w:hRule="exact" w:val="75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недостаточно очищенных сточных вод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млн куб. метров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Недостаточно очищенные сточные воды отсутствуют</w:t>
            </w:r>
          </w:p>
        </w:tc>
      </w:tr>
      <w:tr w:rsidR="00F41F76" w:rsidTr="00F41F76">
        <w:trPr>
          <w:trHeight w:hRule="exact" w:val="20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обустройства твердым основанием мест (площадок) накопления твердых коммунальных отходов к количеству мест накопления твердых коммунальных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2019 году на территории городского округа обустроено 1010 контейнерных площадок. Все площадки оборудованы твердым покрытием, и 430 из них имеют ограждение.</w:t>
            </w:r>
          </w:p>
        </w:tc>
      </w:tr>
      <w:tr w:rsidR="00F41F76" w:rsidTr="00F41F76">
        <w:trPr>
          <w:trHeight w:hRule="exact" w:val="458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41F76" w:rsidRDefault="00F41F76" w:rsidP="00F41F76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ТИПОВЫЕ КПЭ</w:t>
            </w:r>
          </w:p>
        </w:tc>
      </w:tr>
      <w:tr w:rsidR="00F41F76" w:rsidTr="00F41F76">
        <w:trPr>
          <w:trHeight w:hRule="exact" w:val="287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41F76" w:rsidRDefault="00F41F76" w:rsidP="00F41F7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эффективности реализации портфеля проектов</w:t>
            </w:r>
          </w:p>
        </w:tc>
      </w:tr>
      <w:tr w:rsidR="00F41F76" w:rsidTr="00F41F76">
        <w:trPr>
          <w:trHeight w:hRule="exact" w:val="2249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эффективности реализации портфеля проектов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0.9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План проектной деятельности в 2019 году выполнен на 100%. Уровень эффективности реализации переходящих проектов низкий в связи с допущенными отклонениями в ходе реализации проектов, для повышения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качества реализации проектов на 2020 год заплонировано проведение внутрикорпоративных обучений для сотрудников администрации, также особое внимание будет уделено качеству проработки проектной документации.</w:t>
            </w:r>
          </w:p>
        </w:tc>
      </w:tr>
      <w:tr w:rsidR="00F41F76" w:rsidTr="00F41F76">
        <w:trPr>
          <w:trHeight w:hRule="exact" w:val="2250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</w:tr>
      <w:tr w:rsidR="00F41F76" w:rsidTr="00F41F76">
        <w:trPr>
          <w:trHeight w:hRule="exact" w:val="301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41F76" w:rsidRDefault="00F41F76" w:rsidP="00F41F7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эффективности реализации бережливых проектов</w:t>
            </w:r>
          </w:p>
        </w:tc>
      </w:tr>
      <w:tr w:rsidR="00F41F76" w:rsidTr="00F41F76">
        <w:trPr>
          <w:trHeight w:hRule="exact" w:val="2063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реализующихся бережливых проектов первой волны</w:t>
            </w:r>
          </w:p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 общего количества отделов в соответствии с утвержденной структурой администрации городского округа, муниципального района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77.78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рамках внедрения инструментов бережливого управления прокартировано 45 процессов, по результатам которых реализовано 35 бережливых проекта и 10 дорожных карт по улучшениям. В 2020 году планируется обучить не менее 10 сотрудников по бережливому управлению, это позволит качественно подходить к картированию процессов и успешно реализовывать бережливые проекты.</w:t>
            </w:r>
          </w:p>
        </w:tc>
      </w:tr>
      <w:tr w:rsidR="00F41F76" w:rsidTr="00F41F76">
        <w:trPr>
          <w:trHeight w:hRule="exact" w:val="2078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33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0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  <w:tc>
          <w:tcPr>
            <w:tcW w:w="1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1F76" w:rsidRDefault="00F41F76" w:rsidP="00F41F76"/>
        </w:tc>
      </w:tr>
      <w:tr w:rsidR="00F41F76" w:rsidTr="00F41F76">
        <w:trPr>
          <w:trHeight w:hRule="exact" w:val="286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41F76" w:rsidRDefault="00F41F76" w:rsidP="00F41F7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Уровень эффективности достижения налогового потенциала</w:t>
            </w:r>
          </w:p>
        </w:tc>
      </w:tr>
      <w:tr w:rsidR="00F41F76" w:rsidTr="00F41F76">
        <w:trPr>
          <w:trHeight w:hRule="exact" w:val="11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(в сопоставимых условиях)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27.86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41F76" w:rsidRDefault="00F41F76" w:rsidP="00F41F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</w:tr>
    </w:tbl>
    <w:p w:rsidR="00154DE5" w:rsidRDefault="00154DE5"/>
    <w:sectPr w:rsidR="00154DE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4E9"/>
    <w:rsid w:val="00154DE5"/>
    <w:rsid w:val="003B34E9"/>
    <w:rsid w:val="00F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A0C"/>
  <w15:docId w15:val="{B1A09430-1C65-42B4-A334-73A75CD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7484</Characters>
  <Application>Microsoft Office Word</Application>
  <DocSecurity>0</DocSecurity>
  <Lines>62</Lines>
  <Paragraphs>17</Paragraphs>
  <ScaleCrop>false</ScaleCrop>
  <Company>2020.2.1 from 03 February 2020, Java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доклада (Региональный сбор)</dc:title>
  <dc:subject>Типовая форма доклада (Региональный сбор)</dc:subject>
  <dc:creator/>
  <cp:keywords/>
  <dc:description/>
  <cp:lastModifiedBy>Смородино01</cp:lastModifiedBy>
  <cp:revision>2</cp:revision>
  <dcterms:created xsi:type="dcterms:W3CDTF">2020-04-20T15:21:00Z</dcterms:created>
  <dcterms:modified xsi:type="dcterms:W3CDTF">2020-08-05T12:32:00Z</dcterms:modified>
</cp:coreProperties>
</file>