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Общий рейтинг муниципальных образований по Белгородской области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за 2023 год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43285" cy="722842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143284" cy="7228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3.7pt;height:56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2024-01-29T13:41:45Z</dcterms:modified>
</cp:coreProperties>
</file>