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необходимости реализации предлагаемых решений посредством принятия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нормативного правового акта, в том числе их влияния</w:t>
      </w:r>
      <w:r>
        <w:rPr>
          <w:b/>
          <w:color w:val="000000" w:themeColor="text1"/>
          <w:sz w:val="28"/>
          <w:szCs w:val="28"/>
        </w:rPr>
        <w:t xml:space="preserve"> на конкуренцию </w:t>
      </w:r>
    </w:p>
    <w:p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>
        <w:tc>
          <w:tcPr>
            <w:shd w:val="clear" w:color="auto" w:fill="auto"/>
            <w:tcW w:w="9854" w:type="dxa"/>
          </w:tcPr>
          <w:p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</w:t>
            </w:r>
            <w:r>
              <w:rPr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13</w:t>
            </w:r>
            <w:r>
              <w:rPr>
                <w:sz w:val="28"/>
                <w:szCs w:val="28"/>
              </w:rPr>
              <w:t xml:space="preserve"> августа 2020 года № 5</w:t>
            </w:r>
            <w:r>
              <w:rPr>
                <w:sz w:val="28"/>
                <w:szCs w:val="28"/>
              </w:rPr>
              <w:t xml:space="preserve">48</w:t>
            </w:r>
          </w:p>
          <w:p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(наименование проекта нормативного правового акта администрации Грайворонского городского округа)</w:t>
            </w:r>
          </w:p>
          <w:p>
            <w:pPr>
              <w:jc w:val="center"/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муниципальной собственности и земельных ресурсов</w:t>
            </w:r>
            <w:r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</w:p>
          <w:p>
            <w:pPr>
              <w:jc w:val="center"/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соответствии с Федеральным </w:t>
            </w:r>
            <w:hyperlink r:id="rId6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00"/>
                  <w:sz w:val="28"/>
                  <w:szCs w:val="28"/>
                </w:rPr>
                <w:t xml:space="preserve">законом</w:t>
              </w:r>
            </w:hyperlink>
            <w:r>
              <w:rPr>
                <w:color w:val="000000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>
              <w:rPr>
                <w:color w:val="000000"/>
                <w:sz w:val="28"/>
                <w:szCs w:val="28"/>
              </w:rPr>
              <w:t xml:space="preserve">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предоставления государственных услуг»</w:t>
            </w: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both"/>
              <w:tabs>
                <w:tab w:val="left" w:pos="2940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 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center"/>
              <w:tabs>
                <w:tab w:val="left" w:pos="2940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целях приведения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нормативно-правового акта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в соответствие с действующим законодательством</w:t>
            </w: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both"/>
              <w:tabs>
                <w:tab w:val="left" w:pos="2940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окажет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/не окажет, если окажет, укажите какое влияние и на какие товарные рынки):</w:t>
            </w: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center"/>
              <w:tabs>
                <w:tab w:val="left" w:pos="2940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е окажет</w:t>
            </w: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both"/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Информация  о положениях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отсутствуют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/присутствуют, если присутствуют, отразите короткое обоснование их наличия):</w:t>
            </w: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center"/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</w:t>
            </w: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утствует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/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eastAsia="Times New Roman"/>
      <w:lang w:eastAsia="ar-SA"/>
    </w:rPr>
    <w:pPr>
      <w:ind w:right="-142"/>
    </w:pPr>
  </w:style>
  <w:style w:type="character" w:styleId="a4" w:customStyle="1">
    <w:name w:val="Основной текст Знак"/>
    <w:basedOn w:val="a0"/>
    <w:link w:val="a3"/>
    <w:rPr>
      <w:rFonts w:ascii="Times New Roman" w:hAnsi="Times New Roman" w:cs="Times New Roman" w:eastAsia="Times New Roman"/>
      <w:sz w:val="20"/>
      <w:szCs w:val="20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1939</Characters>
  <CharactersWithSpaces>2275</CharactersWithSpaces>
  <Company/>
  <DocSecurity>0</DocSecurity>
  <HyperlinksChanged>false</HyperlinksChanged>
  <Lines>16</Lines>
  <LinksUpToDate>false</LinksUpToDate>
  <Pages>1</Pages>
  <Paragraphs>4</Paragraphs>
  <ScaleCrop>false</ScaleCrop>
  <SharedDoc>false</SharedDoc>
  <Template>Normal</Template>
  <TotalTime>55</TotalTime>
  <Words>340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2020-03-06T05:46:00Z</cp:lastPrinted>
  <dcterms:created xsi:type="dcterms:W3CDTF">2020-02-25T12:19:00Z</dcterms:created>
  <dcterms:modified xsi:type="dcterms:W3CDTF">2021-12-22T08:43:00Z</dcterms:modified>
</cp:coreProperties>
</file>