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</w:tcPr>
          <w:p>
            <w:pPr>
              <w:jc w:val="center"/>
              <w:rPr>
                <w:b/>
                <w:sz w:val="26"/>
                <w:szCs w:val="26"/>
              </w:rPr>
              <w:outlineLvl w:val="0"/>
            </w:pPr>
            <w:r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контроля в сфере благоустройства территории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jc w:val="center"/>
              <w:rPr>
                <w:b/>
                <w:sz w:val="26"/>
                <w:szCs w:val="26"/>
              </w:rPr>
              <w:outlineLvl w:val="0"/>
            </w:pPr>
            <w:r>
              <w:rPr>
                <w:b/>
                <w:sz w:val="26"/>
                <w:szCs w:val="26"/>
              </w:rPr>
              <w:t xml:space="preserve">Грайворонского городского округа</w:t>
            </w:r>
          </w:p>
        </w:tc>
      </w:tr>
    </w:tbl>
    <w:p>
      <w:pPr>
        <w:ind w:firstLine="720"/>
        <w:tabs>
          <w:tab w:val="left" w:pos="1080"/>
        </w:tabs>
        <w:rPr>
          <w:sz w:val="26"/>
          <w:szCs w:val="26"/>
        </w:rPr>
      </w:pPr>
    </w:p>
    <w:p>
      <w:pPr>
        <w:pStyle w:val="1"/>
        <w:ind w:left="0" w:firstLine="720"/>
        <w:jc w:val="both"/>
        <w:rPr>
          <w:b/>
          <w:sz w:val="26"/>
          <w:szCs w:val="26"/>
        </w:rPr>
      </w:pPr>
    </w:p>
    <w:p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25 июня 2021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fill="FFFFFF" w:color="FFFFFF"/>
        </w:rPr>
        <w:t xml:space="preserve">года № </w:t>
      </w:r>
      <w:r>
        <w:rPr>
          <w:rStyle w:val="af"/>
          <w:i w:val="false"/>
          <w:iCs w:val="false"/>
          <w:sz w:val="26"/>
          <w:szCs w:val="26"/>
          <w:shd w:val="clear" w:fill="FFFFFF" w:color="FFFFFF"/>
        </w:rPr>
        <w:t xml:space="preserve">990 «</w:t>
      </w:r>
      <w:r>
        <w:rPr>
          <w:sz w:val="26"/>
          <w:szCs w:val="26"/>
          <w:shd w:val="clear" w:fill="FFFFFF" w:color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fill="FFFFFF" w:color="FFFFFF"/>
        </w:rPr>
        <w:t xml:space="preserve">»</w:t>
      </w:r>
      <w:r>
        <w:rPr>
          <w:sz w:val="26"/>
          <w:szCs w:val="26"/>
        </w:rPr>
        <w:t xml:space="preserve">, решением Совета депутатов Грайворонского городского округа от 27 октября</w:t>
      </w:r>
      <w:r>
        <w:rPr>
          <w:sz w:val="26"/>
          <w:szCs w:val="26"/>
        </w:rPr>
        <w:t xml:space="preserve"> 2021 года №456 «Об утверждении Положения об осуществлении муниципального контроля в сфере благоустройства территории Грайворонского городского округа»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Программ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в сфере благоустройства территории</w:t>
      </w:r>
      <w:r>
        <w:rPr>
          <w:sz w:val="26"/>
          <w:szCs w:val="26"/>
        </w:rPr>
        <w:t xml:space="preserve"> Грайворонского городского округа</w:t>
      </w:r>
      <w:r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 xml:space="preserve">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по строительству, транспорту, ЖКХ и ТЭК администрации Грайворонского городского округа (</w:t>
      </w:r>
      <w:r>
        <w:rPr>
          <w:sz w:val="26"/>
          <w:szCs w:val="26"/>
        </w:rPr>
        <w:t xml:space="preserve">Твердун</w:t>
      </w:r>
      <w:r>
        <w:rPr>
          <w:sz w:val="26"/>
          <w:szCs w:val="26"/>
        </w:rPr>
        <w:t xml:space="preserve"> Р.Г.) обеспечить выполнение Программы </w:t>
      </w:r>
      <w:r>
        <w:rPr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6"/>
          <w:szCs w:val="26"/>
          <w:lang w:eastAsia="en-US"/>
        </w:rPr>
        <w:t xml:space="preserve">муниципального контроля в сфере благоустройства территории</w:t>
      </w:r>
      <w:r>
        <w:rPr>
          <w:sz w:val="26"/>
          <w:szCs w:val="26"/>
        </w:rPr>
        <w:t xml:space="preserve"> Грайворонского городского округа</w:t>
      </w:r>
      <w:r>
        <w:rPr>
          <w:sz w:val="26"/>
          <w:szCs w:val="26"/>
        </w:rPr>
        <w:t xml:space="preserve">.</w:t>
      </w:r>
    </w:p>
    <w:p>
      <w:pPr>
        <w:ind w:firstLine="720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</w:p>
    <w:p>
      <w:pPr>
        <w:ind w:firstLine="720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округа – начальника управления по строител</w:t>
      </w:r>
      <w:r>
        <w:rPr>
          <w:sz w:val="26"/>
          <w:szCs w:val="26"/>
        </w:rPr>
        <w:t xml:space="preserve">ьству, транспорту, ЖКХ и ТЭК Р.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Твердуна</w:t>
      </w:r>
      <w:r>
        <w:rPr>
          <w:sz w:val="26"/>
          <w:szCs w:val="26"/>
        </w:rPr>
        <w:t xml:space="preserve">.</w:t>
      </w:r>
    </w:p>
    <w:p>
      <w:pPr>
        <w:ind w:firstLine="720"/>
        <w:jc w:val="both"/>
        <w:rPr>
          <w:sz w:val="26"/>
          <w:szCs w:val="26"/>
        </w:rPr>
      </w:pPr>
    </w:p>
    <w:p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c>
          <w:tcPr>
            <w:tcW w:w="4926" w:type="dxa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</w:p>
        </w:tc>
      </w:tr>
    </w:tbl>
    <w:p>
      <w:bookmarkStart w:id="0" w:name="_GoBack"/>
      <w:bookmarkEnd w:id="0"/>
      <w:r>
        <w:br w:type="page"/>
      </w:r>
    </w:p>
    <w:p>
      <w:pPr>
        <w:ind w:left="5940"/>
        <w:jc w:val="right"/>
      </w:pPr>
    </w:p>
    <w:p>
      <w:pPr>
        <w:ind w:left="5940"/>
        <w:jc w:val="right"/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4788"/>
        <w:gridCol w:w="5145"/>
      </w:tblGrid>
      <w:tr>
        <w:tc>
          <w:tcPr>
            <w:tcW w:w="4788" w:type="dxa"/>
          </w:tcPr>
          <w:p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14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</w:t>
            </w:r>
            <w:r>
              <w:rPr>
                <w:b/>
                <w:sz w:val="28"/>
                <w:szCs w:val="28"/>
              </w:rPr>
              <w:t xml:space="preserve">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городского округа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«___»____________ 20</w:t>
            </w:r>
            <w:r>
              <w:rPr>
                <w:b/>
                <w:sz w:val="28"/>
                <w:szCs w:val="28"/>
              </w:rPr>
              <w:t xml:space="preserve">__</w:t>
            </w:r>
            <w:r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ода</w:t>
            </w:r>
            <w:r>
              <w:rPr>
                <w:b/>
                <w:sz w:val="28"/>
                <w:szCs w:val="28"/>
              </w:rPr>
              <w:t xml:space="preserve"> №____</w:t>
            </w:r>
          </w:p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>
      <w:pPr>
        <w:ind w:left="5940"/>
        <w:jc w:val="right"/>
      </w:pPr>
    </w:p>
    <w:p>
      <w:pPr>
        <w:ind w:left="5940"/>
        <w:jc w:val="right"/>
      </w:pPr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ПРОГРАММА </w:t>
      </w:r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>
        <w:rPr>
          <w:rFonts w:eastAsia="Calibri"/>
          <w:b/>
          <w:sz w:val="28"/>
          <w:szCs w:val="28"/>
          <w:lang w:eastAsia="en-US"/>
        </w:rPr>
        <w:br/>
        <w:t xml:space="preserve">в сфере благоустройства территории</w:t>
      </w:r>
      <w:r>
        <w:rPr>
          <w:b/>
          <w:sz w:val="28"/>
          <w:szCs w:val="28"/>
        </w:rPr>
        <w:t xml:space="preserve"> Грайворонского городского округа</w:t>
      </w:r>
    </w:p>
    <w:p>
      <w:pPr>
        <w:jc w:val="center"/>
        <w:rPr>
          <w:b/>
          <w:sz w:val="28"/>
          <w:szCs w:val="28"/>
        </w:rPr>
        <w:outlineLvl w:val="0"/>
      </w:pPr>
    </w:p>
    <w:p>
      <w:pPr>
        <w:numPr>
          <w:numId w:val="6"/>
          <w:ilvl w:val="0"/>
        </w:num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ind w:firstLine="567"/>
        <w:jc w:val="both"/>
        <w:outlineLvl w:val="0"/>
      </w:pPr>
    </w:p>
    <w:p>
      <w:pPr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 xml:space="preserve"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при осуществлении муниципального контроля в сфере</w:t>
      </w:r>
      <w:r>
        <w:rPr>
          <w:sz w:val="28"/>
          <w:szCs w:val="28"/>
        </w:rPr>
        <w:t xml:space="preserve"> благоустройства.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Грайворонского городского округа (далее – контрольный орган) в соответствии с Положением о муниципальном контроле в сфере благоустройства территории Грайворонского городского округа (далее - Положение), утвержденным решением Совета депутатов Грайворонского городского округа от 27 октября 2021 года №456, осуществляет муниципальный контроль в сфере благоустройства.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</w:t>
      </w:r>
      <w:r>
        <w:rPr>
          <w:sz w:val="28"/>
          <w:szCs w:val="28"/>
        </w:rPr>
        <w:t xml:space="preserve">благоустройства территории</w:t>
      </w:r>
      <w:r>
        <w:rPr>
          <w:sz w:val="28"/>
          <w:szCs w:val="28"/>
        </w:rPr>
        <w:t xml:space="preserve"> муниципального,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округа.</w:t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являются:</w:t>
      </w:r>
    </w:p>
    <w:p>
      <w:pPr>
        <w:contextualSpacing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деятельность, действия (бездействие) контролируемых лиц, связанные с соблюдением правил благоустройства территории муниципального образования;</w:t>
      </w:r>
    </w:p>
    <w:p>
      <w:pPr>
        <w:contextualSpacing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здания, помещения, сооружения, линейные объекты, земельные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 органом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году осуществляются следующие мероприятия:</w:t>
      </w:r>
    </w:p>
    <w:p>
      <w:pPr>
        <w:numPr>
          <w:numId w:val="5"/>
          <w:ilvl w:val="0"/>
        </w:numPr>
        <w:ind w:left="0"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администрации в сети Интернет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numPr>
          <w:numId w:val="5"/>
          <w:ilvl w:val="0"/>
        </w:numPr>
        <w:ind w:left="0"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 администрацией выдано 0 предостережений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недопустимости нарушения обязательных требований.</w:t>
      </w:r>
    </w:p>
    <w:p>
      <w:pPr>
        <w:ind w:firstLine="709"/>
        <w:jc w:val="both"/>
      </w:pPr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2. </w:t>
      </w:r>
      <w:r>
        <w:rPr>
          <w:b/>
          <w:color w:val="000000"/>
          <w:sz w:val="28"/>
          <w:szCs w:val="28"/>
          <w:shd w:val="clear" w:fill="FFFFFF" w:color="FFFFFF"/>
        </w:rPr>
        <w:t xml:space="preserve">Цели и </w:t>
      </w:r>
      <w:r>
        <w:rPr>
          <w:b/>
          <w:color w:val="000000"/>
          <w:sz w:val="28"/>
          <w:szCs w:val="28"/>
          <w:shd w:val="clear" w:fill="FFFFFF" w:color="FFFFFF"/>
        </w:rPr>
        <w:t xml:space="preserve">задачи реализации Программы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Целями профилактической работы являются: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соблюдения;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нарушений</w:t>
      </w:r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административной нагрузки на контролируемых лиц;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размера ущерба, причиняемого охраняемым законом ценностям.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Задачами профилактической работы являются: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укрепление системы профилактики нарушений обязательных требований;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 в сфере рассматриваемых правоотношений.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</w:t>
      </w:r>
      <w:r>
        <w:rPr>
          <w:sz w:val="28"/>
          <w:szCs w:val="28"/>
        </w:rPr>
        <w:t xml:space="preserve">муниципальном контроле в сфере благоустройства</w:t>
      </w:r>
      <w:r>
        <w:rPr>
          <w:sz w:val="28"/>
          <w:szCs w:val="28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рограмме не предусмотрены.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>
      <w:pPr>
        <w:ind w:firstLine="567"/>
        <w:jc w:val="center"/>
        <w:rPr>
          <w:b/>
          <w:color w:val="000000"/>
          <w:shd w:val="clear" w:fill="FFFFFF" w:color="FFFFFF"/>
        </w:rPr>
      </w:pP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3. Перечень профилактических мероприятий, сроки (периодичность) их</w:t>
      </w:r>
      <w:r>
        <w:rPr>
          <w:b/>
          <w:color w:val="000000"/>
          <w:sz w:val="28"/>
          <w:szCs w:val="28"/>
          <w:shd w:val="clear" w:fill="FFFFFF" w:color="FFFFFF"/>
        </w:rPr>
        <w:t xml:space="preserve"> </w:t>
      </w:r>
      <w:r>
        <w:rPr>
          <w:b/>
          <w:color w:val="000000"/>
          <w:sz w:val="28"/>
          <w:szCs w:val="28"/>
          <w:shd w:val="clear" w:fill="FFFFFF" w:color="FFFFFF"/>
        </w:rPr>
        <w:t xml:space="preserve">проведения</w:t>
      </w:r>
    </w:p>
    <w:p>
      <w:pPr>
        <w:ind w:firstLine="567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357"/>
      </w:tblGrid>
      <w:tr>
        <w:tc>
          <w:tcPr>
            <w:tcW w:w="67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</w:p>
        </w:tc>
        <w:tc>
          <w:tcPr>
            <w:tcW w:w="42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</w:t>
            </w:r>
          </w:p>
        </w:tc>
        <w:tc>
          <w:tcPr>
            <w:tcW w:w="246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реализации мероприятия</w:t>
            </w:r>
          </w:p>
        </w:tc>
        <w:tc>
          <w:tcPr>
            <w:tcW w:w="235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Ответственное должностное лицо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</w:p>
        </w:tc>
        <w:tc>
          <w:tcPr>
            <w:tcW w:w="4251" w:type="dxa"/>
          </w:tcPr>
          <w:p>
            <w:pPr>
              <w:pStyle w:val="ConsPlusNormal"/>
              <w:ind w:right="13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Информирование.</w:t>
            </w:r>
          </w:p>
          <w:p>
            <w:pPr>
              <w:pStyle w:val="ConsPlusNormal"/>
              <w:ind w:right="131"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Грайворонского городского округа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grajvoron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gosuslugi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издании   муниципального образования</w:t>
            </w:r>
          </w:p>
        </w:tc>
        <w:tc>
          <w:tcPr>
            <w:tcW w:w="24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</w:p>
        </w:tc>
        <w:tc>
          <w:tcPr>
            <w:tcW w:w="235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</w:p>
        </w:tc>
        <w:tc>
          <w:tcPr>
            <w:tcW w:w="4251" w:type="dxa"/>
          </w:tcPr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устной или письменной форме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телефону, посредством </w:t>
            </w:r>
            <w:r>
              <w:rPr>
                <w:sz w:val="24"/>
                <w:szCs w:val="24"/>
              </w:rPr>
              <w:t xml:space="preserve">видео-конференц-связи</w:t>
            </w:r>
            <w:r>
              <w:rPr>
                <w:sz w:val="24"/>
                <w:szCs w:val="24"/>
              </w:rPr>
              <w:t xml:space="preserve">, на личном приеме,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обращениям контролируемых лиц и их представителей</w:t>
            </w:r>
          </w:p>
        </w:tc>
        <w:tc>
          <w:tcPr>
            <w:tcW w:w="235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ind w:firstLine="567"/>
        <w:jc w:val="center"/>
      </w:pP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4. Показатели результативности и</w:t>
      </w:r>
      <w:r>
        <w:rPr>
          <w:b/>
          <w:color w:val="000000"/>
          <w:sz w:val="28"/>
          <w:szCs w:val="28"/>
          <w:shd w:val="clear" w:fill="FFFFFF" w:color="FFFFFF"/>
        </w:rPr>
        <w:t xml:space="preserve"> </w:t>
      </w:r>
      <w:r>
        <w:rPr>
          <w:b/>
          <w:color w:val="000000"/>
          <w:sz w:val="28"/>
          <w:szCs w:val="28"/>
          <w:shd w:val="clear" w:fill="FFFFFF" w:color="FFFFFF"/>
        </w:rPr>
        <w:t xml:space="preserve">эффективности Программы</w:t>
      </w: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Величина</w:t>
            </w:r>
          </w:p>
        </w:tc>
      </w:tr>
      <w:tr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</w:t>
            </w:r>
            <w:r>
              <w:rPr>
                <w:sz w:val="24"/>
                <w:szCs w:val="24"/>
              </w:rPr>
              <w:br/>
              <w:t xml:space="preserve">на официальном сайте контрольного органа в сети Интернет в соответствии </w:t>
            </w:r>
            <w:r>
              <w:rPr>
                <w:sz w:val="24"/>
                <w:szCs w:val="24"/>
              </w:rPr>
              <w:br/>
              <w:t xml:space="preserve">с частью 3 статьи 46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31 июля 2020 года № 248-ФЗ </w:t>
            </w:r>
            <w:r>
              <w:rPr>
                <w:sz w:val="24"/>
                <w:szCs w:val="24"/>
              </w:rPr>
              <w:br/>
              <w:t xml:space="preserve">«О государственном контроле (надзоре) </w:t>
            </w:r>
            <w:r>
              <w:rPr>
                <w:sz w:val="24"/>
                <w:szCs w:val="24"/>
              </w:rPr>
              <w:br/>
              <w:t xml:space="preserve">и муниципальном контроле в Российской Федерации»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</w:t>
            </w:r>
          </w:p>
        </w:tc>
      </w:tr>
      <w:tr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br/>
              <w:t xml:space="preserve">и их представителями консультированием контрольного органа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от числа </w:t>
            </w:r>
            <w:r>
              <w:rPr>
                <w:sz w:val="24"/>
                <w:szCs w:val="24"/>
              </w:rPr>
              <w:t xml:space="preserve">обратившихся</w:t>
            </w:r>
          </w:p>
        </w:tc>
      </w:tr>
      <w:tr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и более</w:t>
            </w:r>
          </w:p>
        </w:tc>
      </w:tr>
    </w:tbl>
    <w:p>
      <w:pPr>
        <w:ind w:firstLine="567"/>
        <w:jc w:val="center"/>
      </w:pPr>
    </w:p>
    <w:sectPr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1479052"/>
      <w:docPartObj>
        <w:docPartGallery w:val="Page Numbers (Top of Page)"/>
        <w:docPartUnique w:val="true"/>
      </w:docPartObj>
    </w:sdtPr>
    <w:sdtContent>
      <w:p>
        <w:pPr>
          <w:pStyle w:val="aa"/>
          <w:jc w:val="center"/>
        </w:pPr>
        <w:fldSimple w:instr=" PAGE   \* MERGEFORMAT ">
          <w:r>
            <w:t xml:space="preserve">4</w:t>
          </w:r>
        </w:fldSimple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80" w:hanging="360"/>
      </w:pPr>
    </w:lvl>
    <w:lvl w:ilvl="2" w:tentative="1" w:tplc="0419001B">
      <w:start w:val="1"/>
      <w:numFmt w:val="lowerRoman"/>
      <w:lvlText w:val="%3."/>
      <w:lvlJc w:val="right"/>
      <w:pPr>
        <w:ind w:left="2700" w:hanging="180"/>
      </w:pPr>
    </w:lvl>
    <w:lvl w:ilvl="3" w:tentative="1" w:tplc="0419000F">
      <w:start w:val="1"/>
      <w:numFmt w:val="decimal"/>
      <w:lvlText w:val="%4."/>
      <w:lvlJc w:val="left"/>
      <w:pPr>
        <w:ind w:left="3420" w:hanging="360"/>
      </w:pPr>
    </w:lvl>
    <w:lvl w:ilvl="4" w:tentative="1" w:tplc="04190019">
      <w:start w:val="1"/>
      <w:numFmt w:val="lowerLetter"/>
      <w:lvlText w:val="%5."/>
      <w:lvlJc w:val="left"/>
      <w:pPr>
        <w:ind w:left="4140" w:hanging="360"/>
      </w:pPr>
    </w:lvl>
    <w:lvl w:ilvl="5" w:tentative="1" w:tplc="0419001B">
      <w:start w:val="1"/>
      <w:numFmt w:val="lowerRoman"/>
      <w:lvlText w:val="%6."/>
      <w:lvlJc w:val="right"/>
      <w:pPr>
        <w:ind w:left="4860" w:hanging="180"/>
      </w:pPr>
    </w:lvl>
    <w:lvl w:ilvl="6" w:tentative="1" w:tplc="0419000F">
      <w:start w:val="1"/>
      <w:numFmt w:val="decimal"/>
      <w:lvlText w:val="%7."/>
      <w:lvlJc w:val="left"/>
      <w:pPr>
        <w:ind w:left="5580" w:hanging="360"/>
      </w:pPr>
    </w:lvl>
    <w:lvl w:ilvl="7" w:tentative="1" w:tplc="04190019">
      <w:start w:val="1"/>
      <w:numFmt w:val="lowerLetter"/>
      <w:lvlText w:val="%8."/>
      <w:lvlJc w:val="left"/>
      <w:pPr>
        <w:ind w:left="6300" w:hanging="360"/>
      </w:pPr>
    </w:lvl>
    <w:lvl w:ilvl="8" w:tentative="1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  <w:pPr>
      <w:spacing w:after="120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Pr>
      <w:sz w:val="20"/>
      <w:szCs w:val="20"/>
    </w:rPr>
    <w:pPr>
      <w:ind w:left="283"/>
      <w:spacing w:lineRule="auto" w:line="480" w:after="120"/>
    </w:p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0"/>
    <w:rPr>
      <w:rFonts w:ascii="Arial" w:hAnsi="Arial" w:cs="Arial"/>
    </w:rPr>
    <w:pPr>
      <w:jc w:val="both"/>
      <w:widowControl w:val="off"/>
    </w:pPr>
  </w:style>
  <w:style w:type="paragraph" w:styleId="a7">
    <w:name w:val="List Paragraph"/>
    <w:basedOn w:val="a"/>
    <w:qFormat/>
    <w:uiPriority w:val="34"/>
    <w:pPr>
      <w:contextualSpacing w:val="true"/>
      <w:ind w:left="720"/>
    </w:pPr>
  </w:style>
  <w:style w:type="paragraph" w:styleId="a8">
    <w:name w:val="Normal (Web)"/>
    <w:basedOn w:val="a"/>
    <w:uiPriority w:val="99"/>
    <w:unhideWhenUsed/>
    <w:pPr>
      <w:spacing w:after="100" w:afterAutospacing="1" w:before="100" w:beforeAutospacing="1"/>
    </w:pPr>
  </w:style>
  <w:style w:type="paragraph" w:styleId="paragraph" w:customStyle="1">
    <w:name w:val="paragraph"/>
    <w:basedOn w:val="a"/>
    <w:pPr>
      <w:spacing w:after="100" w:afterAutospacing="1" w:before="100" w:beforeAutospacing="1"/>
    </w:pPr>
  </w:style>
  <w:style w:type="character" w:styleId="normaltextrun" w:customStyle="1">
    <w:name w:val="normaltextrun"/>
    <w:basedOn w:val="a0"/>
  </w:style>
  <w:style w:type="character" w:styleId="scxw111914594" w:customStyle="1">
    <w:name w:val="scxw111914594"/>
    <w:basedOn w:val="a0"/>
  </w:style>
  <w:style w:type="character" w:styleId="eop" w:customStyle="1">
    <w:name w:val="eop"/>
    <w:basedOn w:val="a0"/>
  </w:style>
  <w:style w:type="character" w:styleId="tabchar" w:customStyle="1">
    <w:name w:val="tabchar"/>
    <w:basedOn w:val="a0"/>
  </w:style>
  <w:style w:type="character" w:styleId="spellingerror" w:customStyle="1">
    <w:name w:val="spellingerror"/>
    <w:basedOn w:val="a0"/>
  </w:style>
  <w:style w:type="character" w:styleId="21" w:customStyle="1">
    <w:name w:val="Основной текст (2)_"/>
    <w:basedOn w:val="a0"/>
    <w:link w:val="22"/>
    <w:locked/>
    <w:uiPriority w:val="99"/>
    <w:rPr>
      <w:rFonts w:ascii="Times New Roman" w:hAnsi="Times New Roman" w:cs="Times New Roman"/>
      <w:b/>
      <w:bCs/>
      <w:sz w:val="25"/>
      <w:szCs w:val="25"/>
      <w:shd w:val="clear" w:fill="FFFFFF" w:color="FFFFFF"/>
    </w:rPr>
  </w:style>
  <w:style w:type="paragraph" w:styleId="22" w:customStyle="1">
    <w:name w:val="Основной текст (2)"/>
    <w:basedOn w:val="a"/>
    <w:link w:val="21"/>
    <w:uiPriority w:val="99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table" w:styleId="a9">
    <w:name w:val="Table Grid"/>
    <w:basedOn w:val="a1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5373" w:customStyle="1">
    <w:aliases w:val="bqiaagaaeyqcaaagiaiaaam7eaaabuuuaaaaaaaaaaaaaaaaaaaaaaaaaaaaaaaaaaaaaaaaaaaaaaaaaaaaaaaaaaaaaaaaaaaaaaaaaaaaaaaaaaaaaaaaaaaaaaaaaaaaaaaaaaaaaaaaaaaaaaaaaaaaaaaaaaaaaaaaaaaaaaaaaaaaaaaaaaaaaaaaaaaaaaaaaaaaaaaaaaaaaaaaaaaaaaaaaaaaaaaa"/>
    <w:name w:val="5373"/>
    <w:basedOn w:val="a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Pr>
      <w:rFonts w:eastAsia="Calibri"/>
    </w:rPr>
    <w:pPr>
      <w:contextualSpacing w:val="true"/>
      <w:ind w:left="7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  <w:style w:type="character" w:styleId="af">
    <w:name w:val="Emphasis"/>
    <w:qFormat/>
    <w:uiPriority w:val="20"/>
    <w:rPr>
      <w:i/>
      <w:iCs/>
    </w:rPr>
  </w:style>
  <w:style w:type="character" w:styleId="ConsPlusNormal1" w:customStyle="1">
    <w:name w:val="ConsPlusNormal1"/>
    <w:locked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7730</Characters>
  <CharactersWithSpaces>9067</CharactersWithSpaces>
  <Company/>
  <DocSecurity>0</DocSecurity>
  <HyperlinksChanged>false</HyperlinksChanged>
  <Lines>64</Lines>
  <LinksUpToDate>false</LinksUpToDate>
  <Pages>5</Pages>
  <Paragraphs>18</Paragraphs>
  <ScaleCrop>false</ScaleCrop>
  <SharedDoc>false</SharedDoc>
  <Template>Normal</Template>
  <TotalTime>30</TotalTime>
  <Words>1355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2023-01-11T06:41:00Z</cp:lastPrinted>
  <dcterms:created xsi:type="dcterms:W3CDTF">2023-01-12T05:33:00Z</dcterms:created>
  <dcterms:modified xsi:type="dcterms:W3CDTF">2023-01-12T06:03:00Z</dcterms:modified>
</cp:coreProperties>
</file>