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74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728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1337002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</w:p>
    <w:p>
      <w:pPr>
        <w:pStyle w:val="728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728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</w:p>
    <w:p>
      <w:pPr>
        <w:pStyle w:val="72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</w:p>
    <w:p>
      <w:pPr>
        <w:pStyle w:val="72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</w:p>
    <w:p>
      <w:pPr>
        <w:pStyle w:val="728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</w:p>
    <w:p>
      <w:pPr>
        <w:pStyle w:val="728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</w:p>
    <w:p>
      <w:pPr>
        <w:pStyle w:val="728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</w:p>
    <w:p>
      <w:pPr>
        <w:pStyle w:val="728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</w:p>
    <w:p>
      <w:pPr>
        <w:pStyle w:val="728"/>
        <w:jc w:val="both"/>
        <w:rPr>
          <w:sz w:val="22"/>
        </w:rPr>
      </w:pPr>
      <w:r>
        <w:rPr>
          <w:b/>
          <w:sz w:val="22"/>
          <w:szCs w:val="18"/>
        </w:rPr>
        <w:t xml:space="preserve">«_05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__августа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_550_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4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средней рыночной</w:t>
            </w:r>
            <w:r>
              <w:rPr>
                <w:b/>
                <w:sz w:val="28"/>
                <w:szCs w:val="28"/>
              </w:rPr>
              <w:t xml:space="preserve"> стоимости одного квадратного метра общей площади жилья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по Грайворонскому городскому округу </w:t>
            </w:r>
            <w:r>
              <w:rPr>
                <w:b/>
                <w:sz w:val="28"/>
                <w:szCs w:val="28"/>
              </w:rPr>
              <w:br/>
              <w:t xml:space="preserve">во втором полугодии </w:t>
            </w:r>
            <w:r>
              <w:rPr>
                <w:b/>
                <w:sz w:val="28"/>
                <w:szCs w:val="28"/>
              </w:rPr>
              <w:t xml:space="preserve">20</w:t>
            </w:r>
            <w:r>
              <w:rPr>
                <w:b/>
                <w:sz w:val="28"/>
                <w:szCs w:val="28"/>
              </w:rPr>
              <w:t xml:space="preserve">22</w:t>
            </w:r>
            <w:r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а</w:t>
            </w: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742"/>
        <w:ind w:left="0" w:firstLine="709"/>
        <w:jc w:val="both"/>
        <w:tabs>
          <w:tab w:val="left" w:pos="1276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728"/>
        <w:ind w:firstLine="720"/>
        <w:jc w:val="both"/>
        <w:tabs>
          <w:tab w:val="left" w:pos="1134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приказом Министерства строительства и жилищно – коммунального хозяйства Российской Федерации от 20 июня 2022 года </w:t>
        <w:br/>
        <w:t xml:space="preserve">№ 501/пр «О нормат</w:t>
      </w:r>
      <w:r>
        <w:rPr>
          <w:sz w:val="28"/>
          <w:szCs w:val="28"/>
        </w:rPr>
        <w:t xml:space="preserve">иве стоимости одного квадратного метра общей площади жилого помещения по Российской Федерации на второе полугодие 2022 года </w:t>
        <w:br/>
        <w:t xml:space="preserve">и показателях средней рыночной стоимости одного квадратного метра общей площади жилого помещения по субъектам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квартал 2022 года», в соответствии с расчетом средней рыночной стоимости 1 квадратного метра общей площади жилого помещения от 18 июля 2022 года № 1041-22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</w:p>
    <w:p>
      <w:pPr>
        <w:pStyle w:val="728"/>
        <w:ind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Утвердить на </w:t>
      </w:r>
      <w:r>
        <w:rPr>
          <w:sz w:val="28"/>
          <w:szCs w:val="28"/>
        </w:rPr>
        <w:t xml:space="preserve">второе полугодие 2022 года </w:t>
      </w:r>
      <w:r>
        <w:rPr>
          <w:sz w:val="28"/>
          <w:szCs w:val="28"/>
        </w:rPr>
        <w:t xml:space="preserve">среднюю</w:t>
      </w:r>
      <w:r>
        <w:rPr>
          <w:sz w:val="28"/>
          <w:szCs w:val="28"/>
        </w:rPr>
        <w:t xml:space="preserve"> рыночн</w:t>
      </w:r>
      <w:r>
        <w:rPr>
          <w:sz w:val="28"/>
          <w:szCs w:val="28"/>
        </w:rPr>
        <w:t xml:space="preserve">ую</w:t>
      </w:r>
      <w:r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одного квадратного метра общей площади жилья по Грайворонскому городскому округу </w:t>
      </w:r>
      <w:r>
        <w:rPr>
          <w:sz w:val="28"/>
          <w:szCs w:val="28"/>
        </w:rPr>
        <w:t xml:space="preserve">в размере 75 140 (семьдесят пять тысяч сто сорок) рублей.</w:t>
      </w:r>
    </w:p>
    <w:p>
      <w:pPr>
        <w:pStyle w:val="728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>
      <w:pPr>
        <w:pStyle w:val="728"/>
        <w:ind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Контроль за исполнением постановления возложить на заместителя главы администрации городского округа – начальника управления </w:t>
        <w:br/>
        <w:t xml:space="preserve">по строительству, транспорту, ЖКХ и ТЭК Р.Г. Твердуна.</w:t>
      </w:r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28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28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p/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</w:p>
  </w:endnote>
  <w:endnote w:type="continuationSeparator" w:id="0">
    <w:p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</w:p>
  </w:footnote>
  <w:footnote w:type="continuationSeparator" w:id="0">
    <w:p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rPr>
        <w:rStyle w:val="736"/>
      </w:rPr>
      <w:framePr w:wrap="around" w:vAnchor="text" w:hAnchor="margin" w:xAlign="center" w:y="1"/>
    </w:pPr>
    <w:r>
      <w:rPr>
        <w:rStyle w:val="736"/>
      </w:rPr>
      <w:fldChar w:fldCharType="begin"/>
    </w:r>
    <w:r>
      <w:rPr>
        <w:rStyle w:val="736"/>
      </w:rPr>
      <w:instrText xml:space="preserve">PAGE  </w:instrText>
    </w:r>
    <w:r>
      <w:rPr>
        <w:rStyle w:val="736"/>
      </w:rPr>
      <w:fldChar w:fldCharType="separate"/>
    </w:r>
    <w:r>
      <w:rPr>
        <w:rStyle w:val="736"/>
      </w:rPr>
      <w:t xml:space="preserve">2</w:t>
    </w:r>
    <w:r>
      <w:rPr>
        <w:rStyle w:val="736"/>
      </w:rPr>
      <w:fldChar w:fldCharType="end"/>
    </w:r>
    <w:r>
      <w:rPr>
        <w:rStyle w:val="736"/>
      </w:rPr>
    </w:r>
  </w:p>
  <w:p>
    <w:pPr>
      <w:pStyle w:val="73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rPr>
        <w:rStyle w:val="736"/>
      </w:rPr>
      <w:framePr w:wrap="around" w:vAnchor="text" w:hAnchor="margin" w:xAlign="center" w:y="1"/>
    </w:pPr>
    <w:r>
      <w:rPr>
        <w:rStyle w:val="736"/>
      </w:rPr>
      <w:fldChar w:fldCharType="begin"/>
    </w:r>
    <w:r>
      <w:rPr>
        <w:rStyle w:val="736"/>
      </w:rPr>
      <w:instrText xml:space="preserve">PAGE  </w:instrText>
    </w:r>
    <w:r>
      <w:rPr>
        <w:rStyle w:val="736"/>
      </w:rPr>
      <w:fldChar w:fldCharType="end"/>
    </w:r>
    <w:r>
      <w:rPr>
        <w:rStyle w:val="736"/>
      </w:rPr>
    </w:r>
  </w:p>
  <w:p>
    <w:pPr>
      <w:pStyle w:val="73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  <w:rPr>
        <w:b w:val="false"/>
      </w:rPr>
    </w:lvl>
    <w:lvl w:ilvl="1">
      <w:start w:val="1"/>
      <w:numFmt w:val="decimal"/>
      <w:isLgl w:val="false"/>
      <w:suff w:val="tab"/>
      <w:lvlText w:val="%2."/>
      <w:lvlJc w:val="left"/>
      <w:pPr>
        <w:pStyle w:val="728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28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8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28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28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28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28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28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28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8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8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28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28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28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28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28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28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8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8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82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4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6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8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70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42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4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6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903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5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7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9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1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3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5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7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9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96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  <w:rPr>
        <w:b w:val="false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82"/>
      </w:pPr>
      <w:rPr>
        <w:rFonts w:ascii="Times New Roman" w:hAnsi="Times New Roman" w:eastAsia="Times New Roman"/>
        <w:b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87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4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68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0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2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84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56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28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0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2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1128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5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7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9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1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3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5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7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9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70" w:hanging="360"/>
      </w:pPr>
      <w:rPr>
        <w:b w:val="false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28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8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8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8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8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8"/>
        <w:ind w:left="6830" w:hanging="360"/>
        <w:tabs>
          <w:tab w:val="num" w:pos="683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8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8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8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8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8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8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8"/>
        <w:ind w:left="7832" w:hanging="216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8"/>
    <w:next w:val="72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8"/>
    <w:next w:val="72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8"/>
    <w:next w:val="72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8"/>
    <w:next w:val="72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8"/>
    <w:next w:val="72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8"/>
    <w:next w:val="72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8"/>
    <w:next w:val="72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8"/>
    <w:next w:val="72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8"/>
    <w:next w:val="72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28"/>
    <w:next w:val="72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28"/>
    <w:next w:val="72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28"/>
    <w:next w:val="72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8"/>
    <w:next w:val="72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2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2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28"/>
    <w:next w:val="72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B" w:color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B" w:color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0DD" w:color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0DD" w:color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B" w:color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B" w:color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0DD" w:color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0DD" w:color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1" w:color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CE6F1" w:color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DC2" w:color="5D8DC2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B" w:color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B" w:color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4" w:color="D99694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0DD" w:color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0DD" w:color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A59" w:color="9BBA59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BFBFBF" w:color="BFBFBF" w:themeFill="text1" w:themeFillTint="40"/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DAE5F1" w:color="DAE5F1" w:themeFill="accent1" w:themeFillTint="34"/>
    </w:tblPr>
    <w:tblStylePr w:type="band1Horz">
      <w:tcPr>
        <w:shd w:val="clear" w:fill="ADC5E0" w:color="ADC5E0" w:themeFill="accent1" w:themeFillTint="75"/>
      </w:tcPr>
    </w:tblStylePr>
    <w:tblStylePr w:type="band1Vert">
      <w:tcPr>
        <w:shd w:val="clear" w:fill="ADC5E0" w:color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4F81BD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2DCDB" w:color="F2DCDB" w:themeFill="accent2" w:themeFillTint="32"/>
    </w:tblPr>
    <w:tblStylePr w:type="band1Horz">
      <w:tcPr>
        <w:shd w:val="clear" w:fill="E1ADAC" w:color="E1ADAC" w:themeFill="accent2" w:themeFillTint="75"/>
      </w:tcPr>
    </w:tblStylePr>
    <w:tblStylePr w:type="band1Vert">
      <w:tcPr>
        <w:shd w:val="clear" w:fill="E1ADAC" w:color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C0504D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EAF0DD" w:color="EAF0DD" w:themeFill="accent3" w:themeFillTint="34"/>
    </w:tblPr>
    <w:tblStylePr w:type="band1Horz">
      <w:tcPr>
        <w:shd w:val="clear" w:fill="D1DFB2" w:color="D1DFB2" w:themeFill="accent3" w:themeFillTint="75"/>
      </w:tcPr>
    </w:tblStylePr>
    <w:tblStylePr w:type="band1Vert">
      <w:tcPr>
        <w:shd w:val="clear" w:fill="D1DFB2" w:color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9BBB59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E5DFEC" w:color="E5DFEC" w:themeFill="accent4" w:themeFillTint="34"/>
    </w:tblPr>
    <w:tblStylePr w:type="band1Horz">
      <w:tcPr>
        <w:shd w:val="clear" w:fill="C4B7D4" w:color="C4B7D4" w:themeFill="accent4" w:themeFillTint="75"/>
      </w:tcPr>
    </w:tblStylePr>
    <w:tblStylePr w:type="band1Vert">
      <w:tcPr>
        <w:shd w:val="clear" w:fill="C4B7D4" w:color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8064A2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DAEEF3" w:color="DAEEF3" w:themeFill="accent5" w:themeFillTint="34"/>
    </w:tblPr>
    <w:tblStylePr w:type="band1Horz">
      <w:tcPr>
        <w:shd w:val="clear" w:fill="ABD9E4" w:color="ABD9E4" w:themeFill="accent5" w:themeFillTint="75"/>
      </w:tcPr>
    </w:tblStylePr>
    <w:tblStylePr w:type="band1Vert">
      <w:tcPr>
        <w:shd w:val="clear" w:fill="ABD9E4" w:color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DE9D8" w:color="FDE9D8" w:themeFill="accent6" w:themeFillTint="34"/>
    </w:tblPr>
    <w:tblStylePr w:type="band1Horz">
      <w:tcPr>
        <w:shd w:val="clear" w:fill="FBCDA8" w:color="FBCDA8" w:themeFill="accent6" w:themeFillTint="75"/>
      </w:tcPr>
    </w:tblStylePr>
    <w:tblStylePr w:type="band1Vert">
      <w:tcPr>
        <w:shd w:val="clear" w:fill="FBCDA8" w:color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2DCDB" w:color="F2DCDB" w:themeFill="accent2" w:themeFillTint="32"/>
      </w:tcPr>
    </w:tblStylePr>
    <w:tblStylePr w:type="band1Vert">
      <w:tcPr>
        <w:shd w:val="clear" w:fill="F2DCDB" w:color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EAF0DD" w:color="EAF0DD" w:themeFill="accent3" w:themeFillTint="34"/>
      </w:tcPr>
    </w:tblStylePr>
    <w:tblStylePr w:type="band1Vert">
      <w:tcPr>
        <w:shd w:val="clear" w:fill="EAF0DD" w:color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2DCDB" w:color="F2DCDB" w:themeFill="accent2" w:themeFillTint="32"/>
      </w:tcPr>
    </w:tblStylePr>
    <w:tblStylePr w:type="band1Vert">
      <w:tcPr>
        <w:shd w:val="clear" w:fill="F2DCDB" w:color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EAF0DD" w:color="EAF0DD" w:themeFill="accent3" w:themeFillTint="34"/>
      </w:tcPr>
    </w:tblStylePr>
    <w:tblStylePr w:type="band1Vert">
      <w:tcPr>
        <w:shd w:val="clear" w:fill="EAF0DD" w:color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D3E0EE" w:color="D3E0EE" w:themeFill="accent1" w:themeFillTint="40"/>
      </w:tcPr>
    </w:tblStylePr>
    <w:tblStylePr w:type="band1Vert">
      <w:tcPr>
        <w:shd w:val="clear" w:fill="D3E0EE" w:color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EFD3D2" w:color="EFD3D2" w:themeFill="accent2" w:themeFillTint="40"/>
      </w:tcPr>
    </w:tblStylePr>
    <w:tblStylePr w:type="band1Vert">
      <w:tcPr>
        <w:shd w:val="clear" w:fill="EFD3D2" w:color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E6EED5" w:color="E6EED5" w:themeFill="accent3" w:themeFillTint="40"/>
      </w:tcPr>
    </w:tblStylePr>
    <w:tblStylePr w:type="band1Vert">
      <w:tcPr>
        <w:shd w:val="clear" w:fill="E6EED5" w:color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CE4D1" w:color="FCE4D1" w:themeFill="accent6" w:themeFillTint="40"/>
      </w:tcPr>
    </w:tblStylePr>
    <w:tblStylePr w:type="band1Vert">
      <w:tcPr>
        <w:shd w:val="clear" w:fill="FCE4D1" w:color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3E0EE" w:color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3E0EE" w:color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3D2" w:color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3D2" w:color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6EED5" w:color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6EED5" w:color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CE4D1" w:color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CE4D1" w:color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4" w:color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1CDDC" w:color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9BF90" w:color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3E0EE" w:color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3E0EE" w:color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3D2" w:color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3D2" w:color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6EED5" w:color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6EED5" w:color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CE4D1" w:color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CE4D1" w:color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7F7F7F" w:color="7F7F7F" w:themeFill="text1" w:themeFillTint="80"/>
    </w:tblPr>
    <w:tblStylePr w:type="band1Horz">
      <w:tcPr>
        <w:shd w:val="clear" w:fill="7F7F7F" w:color="7F7F7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4F81BD" w:color="4F81BD" w:themeFill="accent1"/>
    </w:tblPr>
    <w:tblStylePr w:type="band1Horz">
      <w:tcPr>
        <w:shd w:val="clear" w:fill="4F81BD" w:color="4F81BD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4F81BD" w:color="4F81BD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4F81BD" w:color="4F81BD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4F81BD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D99694" w:color="D99694" w:themeFill="accent2" w:themeFillTint="97"/>
    </w:tblPr>
    <w:tblStylePr w:type="band1Horz">
      <w:tcPr>
        <w:shd w:val="clear" w:fill="D99694" w:color="D99694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D99694" w:color="D99694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D99694" w:color="D99694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4" w:color="D99694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C3D69B" w:color="C3D69B" w:themeFill="accent3" w:themeFillTint="98"/>
    </w:tblPr>
    <w:tblStylePr w:type="band1Horz">
      <w:tcPr>
        <w:shd w:val="clear" w:fill="C3D69B" w:color="C3D69B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C3D69B" w:color="C3D69B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C3D69B" w:color="C3D69B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C3D69B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B2A1C6" w:color="B2A1C6" w:themeFill="accent4" w:themeFillTint="9A"/>
    </w:tblPr>
    <w:tblStylePr w:type="band1Horz">
      <w:tcPr>
        <w:shd w:val="clear" w:fill="B2A1C6" w:color="B2A1C6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B2A1C6" w:color="B2A1C6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B2A1C6" w:color="B2A1C6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B2A1C6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91CDDC" w:color="91CDDC" w:themeFill="accent5" w:themeFillTint="9A"/>
    </w:tblPr>
    <w:tblStylePr w:type="band1Horz">
      <w:tcPr>
        <w:shd w:val="clear" w:fill="91CDDC" w:color="91CDDC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91CDDC" w:color="91CDDC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91CDDC" w:color="91CDDC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1CDDC" w:color="91CDDC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9BF90" w:color="F9BF90" w:themeFill="accent6" w:themeFillTint="98"/>
    </w:tblPr>
    <w:tblStylePr w:type="band1Horz">
      <w:tcPr>
        <w:shd w:val="clear" w:fill="F9BF90" w:color="F9BF90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9BF90" w:color="F9BF90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9BF90" w:color="F9BF90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9BF90" w:color="F9BF90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D3E0EE" w:color="D3E0EE" w:themeFill="accent1" w:themeFillTint="40"/>
      </w:tcPr>
    </w:tblStylePr>
    <w:tblStylePr w:type="band1Vert">
      <w:tcPr>
        <w:shd w:val="clear" w:fill="D3E0EE" w:color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EFD3D2" w:color="EFD3D2" w:themeFill="accent2" w:themeFillTint="40"/>
      </w:tcPr>
    </w:tblStylePr>
    <w:tblStylePr w:type="band1Vert">
      <w:tcPr>
        <w:shd w:val="clear" w:fill="EFD3D2" w:color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E6EED5" w:color="E6EED5" w:themeFill="accent3" w:themeFillTint="40"/>
      </w:tcPr>
    </w:tblStylePr>
    <w:tblStylePr w:type="band1Vert">
      <w:tcPr>
        <w:shd w:val="clear" w:fill="E6EED5" w:color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CE4D1" w:color="FCE4D1" w:themeFill="accent6" w:themeFillTint="40"/>
      </w:tcPr>
    </w:tblStylePr>
    <w:tblStylePr w:type="band1Vert">
      <w:tcPr>
        <w:shd w:val="clear" w:fill="FCE4D1" w:color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D3E0EE" w:color="D3E0EE" w:themeFill="accent1" w:themeFillTint="40"/>
      </w:tcPr>
    </w:tblStylePr>
    <w:tblStylePr w:type="band1Vert">
      <w:tcPr>
        <w:shd w:val="clear" w:fill="D3E0EE" w:color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EFD3D2" w:color="EFD3D2" w:themeFill="accent2" w:themeFillTint="40"/>
      </w:tcPr>
    </w:tblStylePr>
    <w:tblStylePr w:type="band1Vert">
      <w:tcPr>
        <w:shd w:val="clear" w:fill="EFD3D2" w:color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E6EED5" w:color="E6EED5" w:themeFill="accent3" w:themeFillTint="40"/>
      </w:tcPr>
    </w:tblStylePr>
    <w:tblStylePr w:type="band1Vert">
      <w:tcPr>
        <w:shd w:val="clear" w:fill="E6EED5" w:color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CE4D1" w:color="FCE4D1" w:themeFill="accent6" w:themeFillTint="40"/>
      </w:tcPr>
    </w:tblStylePr>
    <w:tblStylePr w:type="band1Vert">
      <w:tcPr>
        <w:shd w:val="clear" w:fill="FCE4D1" w:color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DC2" w:color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DC2" w:color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DC2" w:color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DC2" w:color="5D8DC2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B" w:color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B" w:color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4" w:color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4" w:color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4" w:color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4" w:color="D99694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0DD" w:color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0DD" w:color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BBA59" w:color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BBA59" w:color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BBA59" w:color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BBA59" w:color="9BBA59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DC2" w:color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DC2" w:color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DC2" w:color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DC2" w:color="5D8DC2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B" w:color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B" w:color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4" w:color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4" w:color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4" w:color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4" w:color="D99694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0DD" w:color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0DD" w:color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BBA59" w:color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BBA59" w:color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BBA59" w:color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BBA59" w:color="9BBA59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2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2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28"/>
    <w:next w:val="72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8"/>
    <w:next w:val="72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8"/>
    <w:next w:val="72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8"/>
    <w:next w:val="72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8"/>
    <w:next w:val="72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8"/>
    <w:next w:val="72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8"/>
    <w:next w:val="72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8"/>
    <w:next w:val="72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8"/>
    <w:next w:val="72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8"/>
    <w:next w:val="728"/>
    <w:uiPriority w:val="99"/>
    <w:unhideWhenUsed/>
    <w:pPr>
      <w:spacing w:after="0" w:afterAutospacing="0"/>
    </w:pPr>
  </w:style>
  <w:style w:type="paragraph" w:styleId="728" w:default="1">
    <w:name w:val="Normal"/>
    <w:next w:val="728"/>
    <w:link w:val="728"/>
    <w:rPr>
      <w:lang w:val="ru-RU" w:bidi="ar-SA" w:eastAsia="ru-RU"/>
    </w:rPr>
  </w:style>
  <w:style w:type="paragraph" w:styleId="729">
    <w:name w:val="Заголовок 1"/>
    <w:basedOn w:val="728"/>
    <w:next w:val="729"/>
    <w:link w:val="774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character" w:styleId="730">
    <w:name w:val="Основной шрифт абзаца"/>
    <w:next w:val="730"/>
    <w:link w:val="728"/>
    <w:semiHidden/>
  </w:style>
  <w:style w:type="table" w:styleId="731">
    <w:name w:val="Обычная таблица"/>
    <w:next w:val="731"/>
    <w:link w:val="728"/>
    <w:semiHidden/>
    <w:tblPr/>
  </w:style>
  <w:style w:type="numbering" w:styleId="732">
    <w:name w:val="Нет списка"/>
    <w:next w:val="732"/>
    <w:link w:val="728"/>
    <w:semiHidden/>
  </w:style>
  <w:style w:type="table" w:styleId="733">
    <w:name w:val="Сетка таблицы"/>
    <w:basedOn w:val="731"/>
    <w:next w:val="733"/>
    <w:link w:val="728"/>
    <w:tblPr/>
  </w:style>
  <w:style w:type="paragraph" w:styleId="734">
    <w:name w:val="Основной текст с отступом 2"/>
    <w:basedOn w:val="728"/>
    <w:next w:val="734"/>
    <w:link w:val="728"/>
    <w:pPr>
      <w:ind w:left="283"/>
      <w:spacing w:lineRule="auto" w:line="480" w:after="120"/>
    </w:pPr>
  </w:style>
  <w:style w:type="paragraph" w:styleId="735">
    <w:name w:val="Верхний колонтитул"/>
    <w:basedOn w:val="728"/>
    <w:next w:val="735"/>
    <w:link w:val="728"/>
    <w:pPr>
      <w:tabs>
        <w:tab w:val="center" w:pos="4677" w:leader="none"/>
        <w:tab w:val="right" w:pos="9355" w:leader="none"/>
      </w:tabs>
    </w:pPr>
  </w:style>
  <w:style w:type="character" w:styleId="736">
    <w:name w:val="Номер страницы"/>
    <w:basedOn w:val="730"/>
    <w:next w:val="736"/>
    <w:link w:val="728"/>
  </w:style>
  <w:style w:type="paragraph" w:styleId="737">
    <w:name w:val="Текст выноски"/>
    <w:basedOn w:val="728"/>
    <w:next w:val="737"/>
    <w:link w:val="728"/>
    <w:semiHidden/>
    <w:rPr>
      <w:rFonts w:ascii="Tahoma" w:hAnsi="Tahoma"/>
      <w:sz w:val="16"/>
      <w:szCs w:val="16"/>
    </w:rPr>
  </w:style>
  <w:style w:type="paragraph" w:styleId="738">
    <w:name w:val="Основной текст"/>
    <w:basedOn w:val="728"/>
    <w:next w:val="738"/>
    <w:link w:val="763"/>
    <w:pPr>
      <w:spacing w:after="120"/>
    </w:pPr>
  </w:style>
  <w:style w:type="paragraph" w:styleId="739">
    <w:name w:val="Обычный (веб)"/>
    <w:basedOn w:val="728"/>
    <w:next w:val="739"/>
    <w:link w:val="728"/>
    <w:rPr>
      <w:rFonts w:eastAsia="Calibri"/>
      <w:sz w:val="24"/>
      <w:szCs w:val="24"/>
    </w:rPr>
    <w:pPr>
      <w:spacing w:after="100" w:afterAutospacing="1" w:before="100" w:beforeAutospacing="1"/>
    </w:pPr>
  </w:style>
  <w:style w:type="character" w:styleId="740">
    <w:name w:val="Основной текст с отступом Знак"/>
    <w:next w:val="740"/>
    <w:link w:val="741"/>
    <w:rPr>
      <w:sz w:val="24"/>
      <w:szCs w:val="24"/>
      <w:lang w:val="ru-RU" w:bidi="ar-SA" w:eastAsia="ru-RU"/>
    </w:rPr>
  </w:style>
  <w:style w:type="paragraph" w:styleId="741">
    <w:name w:val="Основной текст с отступом"/>
    <w:basedOn w:val="728"/>
    <w:next w:val="741"/>
    <w:link w:val="740"/>
    <w:rPr>
      <w:sz w:val="24"/>
      <w:szCs w:val="24"/>
    </w:rPr>
    <w:pPr>
      <w:ind w:left="283"/>
      <w:spacing w:after="120"/>
    </w:pPr>
  </w:style>
  <w:style w:type="paragraph" w:styleId="742">
    <w:name w:val="List Paragraph"/>
    <w:basedOn w:val="728"/>
    <w:next w:val="742"/>
    <w:link w:val="728"/>
    <w:rPr>
      <w:rFonts w:eastAsia="Calibri"/>
      <w:sz w:val="24"/>
      <w:szCs w:val="24"/>
    </w:rPr>
    <w:pPr>
      <w:contextualSpacing w:val="true"/>
      <w:ind w:left="720"/>
    </w:pPr>
  </w:style>
  <w:style w:type="paragraph" w:styleId="743">
    <w:name w:val="ConsPlusNormal"/>
    <w:next w:val="743"/>
    <w:link w:val="747"/>
    <w:rPr>
      <w:rFonts w:ascii="Arial" w:hAnsi="Arial"/>
      <w:lang w:val="ru-RU" w:bidi="ar-SA" w:eastAsia="ru-RU"/>
    </w:rPr>
    <w:pPr>
      <w:widowControl w:val="off"/>
    </w:pPr>
  </w:style>
  <w:style w:type="paragraph" w:styleId="744">
    <w:name w:val="Нижний колонтитул"/>
    <w:basedOn w:val="728"/>
    <w:next w:val="744"/>
    <w:link w:val="728"/>
    <w:pPr>
      <w:tabs>
        <w:tab w:val="center" w:pos="4677" w:leader="none"/>
        <w:tab w:val="right" w:pos="9355" w:leader="none"/>
      </w:tabs>
    </w:pPr>
  </w:style>
  <w:style w:type="character" w:styleId="745">
    <w:name w:val="Гиперссылка"/>
    <w:next w:val="745"/>
    <w:link w:val="728"/>
    <w:rPr>
      <w:color w:val="0000FF"/>
      <w:u w:val="single"/>
    </w:rPr>
  </w:style>
  <w:style w:type="character" w:styleId="746">
    <w:name w:val="Строгий"/>
    <w:next w:val="746"/>
    <w:link w:val="728"/>
    <w:rPr>
      <w:b/>
      <w:bCs/>
    </w:rPr>
  </w:style>
  <w:style w:type="character" w:styleId="747">
    <w:name w:val="ConsPlusNormal Знак"/>
    <w:next w:val="747"/>
    <w:link w:val="743"/>
    <w:rPr>
      <w:rFonts w:ascii="Arial" w:hAnsi="Arial"/>
      <w:lang w:val="ru-RU" w:bidi="ar-SA" w:eastAsia="ru-RU"/>
    </w:rPr>
  </w:style>
  <w:style w:type="paragraph" w:styleId="748">
    <w:name w:val="ConsPlusTitle"/>
    <w:next w:val="748"/>
    <w:link w:val="728"/>
    <w:rPr>
      <w:rFonts w:ascii="Arial" w:hAnsi="Arial"/>
      <w:b/>
      <w:bCs/>
      <w:lang w:val="ru-RU" w:bidi="ar-SA" w:eastAsia="ru-RU"/>
    </w:rPr>
    <w:pPr>
      <w:widowControl w:val="off"/>
    </w:pPr>
  </w:style>
  <w:style w:type="paragraph" w:styleId="749">
    <w:name w:val="Основной текст 2"/>
    <w:basedOn w:val="728"/>
    <w:next w:val="749"/>
    <w:link w:val="750"/>
    <w:rPr>
      <w:rFonts w:eastAsia="Calibri"/>
      <w:sz w:val="24"/>
      <w:szCs w:val="24"/>
    </w:rPr>
    <w:pPr>
      <w:spacing w:lineRule="auto" w:line="480" w:after="120"/>
    </w:pPr>
  </w:style>
  <w:style w:type="character" w:styleId="750">
    <w:name w:val="Основной текст 2 Знак"/>
    <w:next w:val="750"/>
    <w:link w:val="749"/>
    <w:rPr>
      <w:rFonts w:eastAsia="Calibri"/>
      <w:sz w:val="24"/>
      <w:szCs w:val="24"/>
      <w:lang w:val="ru-RU" w:bidi="ar-SA" w:eastAsia="ru-RU"/>
    </w:rPr>
  </w:style>
  <w:style w:type="paragraph" w:styleId="751">
    <w:name w:val="Абзац списка"/>
    <w:basedOn w:val="728"/>
    <w:next w:val="751"/>
    <w:link w:val="728"/>
    <w:rPr>
      <w:sz w:val="24"/>
      <w:szCs w:val="24"/>
    </w:rPr>
    <w:pPr>
      <w:contextualSpacing w:val="true"/>
      <w:ind w:left="720"/>
    </w:pPr>
  </w:style>
  <w:style w:type="paragraph" w:styleId="752">
    <w:name w:val="western"/>
    <w:basedOn w:val="728"/>
    <w:next w:val="752"/>
    <w:link w:val="728"/>
    <w:rPr>
      <w:rFonts w:eastAsia="Calibri"/>
      <w:sz w:val="24"/>
      <w:szCs w:val="24"/>
    </w:rPr>
    <w:pPr>
      <w:spacing w:after="100" w:afterAutospacing="1" w:before="100" w:beforeAutospacing="1"/>
    </w:pPr>
  </w:style>
  <w:style w:type="paragraph" w:styleId="753">
    <w:name w:val="Основной текст с отступом 21"/>
    <w:basedOn w:val="728"/>
    <w:next w:val="753"/>
    <w:link w:val="728"/>
    <w:rPr>
      <w:sz w:val="28"/>
      <w:lang w:eastAsia="ar-SA"/>
    </w:rPr>
    <w:pPr>
      <w:ind w:left="720" w:hanging="851"/>
      <w:jc w:val="both"/>
    </w:pPr>
  </w:style>
  <w:style w:type="character" w:styleId="754">
    <w:name w:val="Body text_"/>
    <w:next w:val="754"/>
    <w:link w:val="755"/>
    <w:rPr>
      <w:sz w:val="25"/>
      <w:szCs w:val="25"/>
      <w:lang w:bidi="ar-SA"/>
    </w:rPr>
  </w:style>
  <w:style w:type="paragraph" w:styleId="755">
    <w:name w:val="Body text"/>
    <w:basedOn w:val="728"/>
    <w:next w:val="755"/>
    <w:link w:val="754"/>
    <w:rPr>
      <w:sz w:val="25"/>
      <w:szCs w:val="25"/>
      <w:lang w:val="en-US" w:eastAsia="en-US"/>
    </w:rPr>
    <w:pPr>
      <w:jc w:val="both"/>
      <w:spacing w:lineRule="exact" w:line="322"/>
      <w:shd w:val="clear" w:fill="FFFFFF" w:color="FFFFFF"/>
    </w:pPr>
  </w:style>
  <w:style w:type="paragraph" w:styleId="756">
    <w:name w:val="Название"/>
    <w:basedOn w:val="728"/>
    <w:next w:val="756"/>
    <w:link w:val="760"/>
    <w:rPr>
      <w:b/>
      <w:bCs/>
      <w:sz w:val="40"/>
      <w:lang w:val="en-US" w:eastAsia="en-US"/>
    </w:rPr>
    <w:pPr>
      <w:jc w:val="center"/>
      <w:tabs>
        <w:tab w:val="left" w:pos="2280" w:leader="none"/>
      </w:tabs>
    </w:pPr>
  </w:style>
  <w:style w:type="character" w:styleId="757">
    <w:name w:val="Font Style11"/>
    <w:next w:val="757"/>
    <w:link w:val="728"/>
    <w:rPr>
      <w:rFonts w:ascii="Times New Roman" w:hAnsi="Times New Roman"/>
      <w:sz w:val="24"/>
      <w:szCs w:val="24"/>
    </w:rPr>
  </w:style>
  <w:style w:type="paragraph" w:styleId="758">
    <w:name w:val="Основной текст 3"/>
    <w:basedOn w:val="728"/>
    <w:next w:val="758"/>
    <w:link w:val="728"/>
    <w:rPr>
      <w:sz w:val="16"/>
      <w:szCs w:val="16"/>
    </w:rPr>
    <w:pPr>
      <w:spacing w:after="120"/>
    </w:pPr>
  </w:style>
  <w:style w:type="paragraph" w:styleId="759">
    <w:name w:val="ConsPlusNonformat"/>
    <w:next w:val="759"/>
    <w:link w:val="728"/>
    <w:rPr>
      <w:rFonts w:ascii="Courier New" w:hAnsi="Courier New" w:eastAsia="Calibri"/>
      <w:lang w:val="ru-RU" w:bidi="ar-SA" w:eastAsia="ru-RU"/>
    </w:rPr>
    <w:pPr>
      <w:widowControl w:val="off"/>
    </w:pPr>
  </w:style>
  <w:style w:type="character" w:styleId="760">
    <w:name w:val="Название Знак"/>
    <w:next w:val="760"/>
    <w:link w:val="756"/>
    <w:rPr>
      <w:b/>
      <w:bCs/>
      <w:sz w:val="40"/>
    </w:rPr>
  </w:style>
  <w:style w:type="character" w:styleId="761">
    <w:name w:val="Основной текст_"/>
    <w:next w:val="761"/>
    <w:link w:val="762"/>
    <w:rPr>
      <w:shd w:val="clear" w:fill="FFFFFF" w:color="FFFFFF"/>
    </w:rPr>
  </w:style>
  <w:style w:type="paragraph" w:styleId="762">
    <w:name w:val="Основной текст1"/>
    <w:basedOn w:val="728"/>
    <w:next w:val="762"/>
    <w:link w:val="761"/>
    <w:rPr>
      <w:lang w:val="en-US" w:eastAsia="en-US"/>
    </w:rPr>
    <w:pPr>
      <w:ind w:firstLine="400"/>
      <w:shd w:val="clear" w:fill="FFFFFF" w:color="FFFFFF"/>
      <w:widowControl w:val="off"/>
    </w:pPr>
  </w:style>
  <w:style w:type="character" w:styleId="763">
    <w:name w:val="Основной текст Знак"/>
    <w:next w:val="763"/>
    <w:link w:val="738"/>
  </w:style>
  <w:style w:type="paragraph" w:styleId="766">
    <w:name w:val="UserStyle_17"/>
    <w:basedOn w:val="728"/>
    <w:next w:val="756"/>
    <w:link w:val="728"/>
    <w:rPr>
      <w:b/>
      <w:bCs/>
      <w:sz w:val="40"/>
    </w:rPr>
    <w:pPr>
      <w:jc w:val="center"/>
      <w:tabs>
        <w:tab w:val="left" w:pos="2280" w:leader="none"/>
      </w:tabs>
    </w:pPr>
  </w:style>
  <w:style w:type="paragraph" w:styleId="767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28"/>
    <w:next w:val="767"/>
    <w:link w:val="728"/>
    <w:rPr>
      <w:sz w:val="24"/>
      <w:szCs w:val="24"/>
    </w:rPr>
    <w:pPr>
      <w:spacing w:after="100" w:afterAutospacing="1" w:before="100" w:beforeAutospacing="1"/>
    </w:pPr>
  </w:style>
  <w:style w:type="character" w:styleId="768">
    <w:name w:val="fontstyle01"/>
    <w:basedOn w:val="730"/>
    <w:next w:val="768"/>
    <w:link w:val="728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69">
    <w:name w:val="Основной текст 21"/>
    <w:basedOn w:val="728"/>
    <w:next w:val="769"/>
    <w:link w:val="728"/>
    <w:rPr>
      <w:rFonts w:ascii="Calibri" w:hAnsi="Calibri" w:eastAsia="Calibri"/>
      <w:sz w:val="22"/>
      <w:szCs w:val="22"/>
      <w:lang w:bidi="hi-IN" w:eastAsia="hi-IN"/>
    </w:rPr>
    <w:pPr>
      <w:ind w:left="567" w:firstLine="567"/>
      <w:jc w:val="both"/>
      <w:spacing w:lineRule="auto" w:line="480" w:after="120"/>
      <w:widowControl w:val="off"/>
    </w:pPr>
  </w:style>
  <w:style w:type="character" w:styleId="770">
    <w:name w:val="Основной текст (4)"/>
    <w:next w:val="770"/>
    <w:link w:val="728"/>
    <w:rPr>
      <w:b/>
      <w:bCs/>
      <w:sz w:val="26"/>
      <w:szCs w:val="26"/>
      <w:lang w:bidi="ar-SA"/>
    </w:rPr>
  </w:style>
  <w:style w:type="character" w:styleId="771">
    <w:name w:val="Основной текст (2)_"/>
    <w:basedOn w:val="730"/>
    <w:next w:val="771"/>
    <w:link w:val="772"/>
    <w:rPr>
      <w:b/>
      <w:bCs/>
      <w:sz w:val="25"/>
      <w:szCs w:val="25"/>
      <w:shd w:val="clear" w:fill="FFFFFF" w:color="FFFFFF"/>
    </w:rPr>
  </w:style>
  <w:style w:type="paragraph" w:styleId="772">
    <w:name w:val="Основной текст (2)"/>
    <w:basedOn w:val="728"/>
    <w:next w:val="772"/>
    <w:link w:val="771"/>
    <w:rPr>
      <w:b/>
      <w:bCs/>
      <w:sz w:val="25"/>
      <w:szCs w:val="25"/>
    </w:rPr>
    <w:pPr>
      <w:jc w:val="center"/>
      <w:spacing w:lineRule="atLeast" w:line="240" w:after="360" w:before="240"/>
      <w:shd w:val="clear" w:fill="FFFFFF" w:color="FFFFFF"/>
    </w:pPr>
  </w:style>
  <w:style w:type="paragraph" w:styleId="773">
    <w:name w:val="Обычный + По ширине"/>
    <w:basedOn w:val="728"/>
    <w:next w:val="773"/>
    <w:link w:val="728"/>
    <w:rPr>
      <w:sz w:val="28"/>
      <w:szCs w:val="24"/>
    </w:rPr>
    <w:pPr>
      <w:jc w:val="both"/>
    </w:pPr>
  </w:style>
  <w:style w:type="character" w:styleId="774">
    <w:name w:val="Заголовок 1 Знак"/>
    <w:basedOn w:val="730"/>
    <w:next w:val="774"/>
    <w:link w:val="729"/>
    <w:rPr>
      <w:b/>
      <w:bCs/>
      <w:sz w:val="48"/>
      <w:szCs w:val="48"/>
    </w:rPr>
  </w:style>
  <w:style w:type="character" w:styleId="921" w:default="1">
    <w:name w:val="Default Paragraph Font"/>
    <w:uiPriority w:val="1"/>
    <w:semiHidden/>
    <w:unhideWhenUsed/>
  </w:style>
  <w:style w:type="numbering" w:styleId="922" w:default="1">
    <w:name w:val="No List"/>
    <w:uiPriority w:val="99"/>
    <w:semiHidden/>
    <w:unhideWhenUsed/>
  </w:style>
  <w:style w:type="table" w:styleId="9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2022-08-05T07:48:32Z</dcterms:modified>
</cp:coreProperties>
</file>