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</w:p>
    <w:p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shd w:val="clear" w:color="auto" w:fill="auto"/>
            <w:tcW w:w="9854" w:type="dxa"/>
          </w:tcPr>
          <w:p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  <w:t xml:space="preserve"> августа 2020 года № 5</w:t>
            </w:r>
            <w:r>
              <w:rPr>
                <w:sz w:val="28"/>
                <w:szCs w:val="28"/>
              </w:rPr>
              <w:t xml:space="preserve">50</w:t>
            </w:r>
          </w:p>
          <w:p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(наименование проекта нормативного правового акта администрации Грайворонского городского округа)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муниципальной собственности и земельных ресурсов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Федеральным </w:t>
            </w:r>
            <w:hyperlink r:id="rId6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>
                <w:rPr>
                  <w:color w:val="000000"/>
                  <w:sz w:val="28"/>
                  <w:szCs w:val="28"/>
                </w:rPr>
                <w:t xml:space="preserve">законом</w:t>
              </w:r>
            </w:hyperlink>
            <w:r>
              <w:rPr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 xml:space="preserve"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целях приведения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в соответствие с действующим законодательством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е окажет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Информация  о положениях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>
        <w:tc>
          <w:tcPr>
            <w:shd w:val="clear" w:color="auto" w:fill="auto"/>
            <w:tcW w:w="9854" w:type="dxa"/>
          </w:tcPr>
          <w:p>
            <w:pPr>
              <w:jc w:val="center"/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утствует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Times New Roman"/>
      <w:lang w:eastAsia="ar-SA"/>
    </w:rPr>
    <w:pPr>
      <w:ind w:right="-142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 w:eastAsia="Times New Roman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1939</Characters>
  <CharactersWithSpaces>2275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55</TotalTime>
  <Words>340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2020-03-06T05:46:00Z</cp:lastPrinted>
  <dcterms:created xsi:type="dcterms:W3CDTF">2020-02-25T12:19:00Z</dcterms:created>
  <dcterms:modified xsi:type="dcterms:W3CDTF">2021-12-22T08:43:00Z</dcterms:modified>
</cp:coreProperties>
</file>