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 w:firstRow="1" w:lastRow="1" w:firstColumn="1" w:lastColumn="1" w:noHBand="0" w:noVBand="0"/>
      </w:tblPr>
      <w:tblGrid>
        <w:gridCol w:w="7229"/>
      </w:tblGrid>
      <w:tr>
        <w:trPr>
          <w:trHeight w:val="701"/>
        </w:trPr>
        <w:tc>
          <w:tcPr>
            <w:tcW w:w="7229" w:type="dxa"/>
          </w:tcPr>
          <w:p>
            <w:pPr>
              <w:jc w:val="center"/>
              <w:rPr>
                <w:b/>
                <w:sz w:val="26"/>
                <w:szCs w:val="26"/>
              </w:rPr>
              <w:outlineLvl w:val="0"/>
            </w:pPr>
            <w:r>
              <w:rPr>
                <w:b/>
                <w:sz w:val="26"/>
                <w:szCs w:val="26"/>
              </w:rPr>
              <w:t xml:space="preserve">Об утверждении Программы профилактики рисков причинения вреда (ущерба) охраняемым законом ценностям на 2023 год в рамках 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</w:t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br/>
            </w:r>
            <w:r>
              <w:rPr>
                <w:rFonts w:eastAsia="Calibri"/>
                <w:b/>
                <w:sz w:val="26"/>
                <w:szCs w:val="26"/>
                <w:lang w:eastAsia="en-US"/>
              </w:rPr>
              <w:t xml:space="preserve">в границах</w:t>
            </w:r>
            <w:r>
              <w:rPr>
                <w:b/>
                <w:sz w:val="26"/>
                <w:szCs w:val="26"/>
              </w:rPr>
              <w:t xml:space="preserve"> Грайворонского городского округа</w:t>
            </w:r>
          </w:p>
        </w:tc>
      </w:tr>
    </w:tbl>
    <w:p>
      <w:pPr>
        <w:pStyle w:val="1"/>
        <w:ind w:left="0" w:firstLine="720"/>
        <w:jc w:val="both"/>
        <w:rPr>
          <w:b/>
          <w:sz w:val="26"/>
          <w:szCs w:val="26"/>
        </w:rPr>
      </w:pPr>
    </w:p>
    <w:p>
      <w:pPr>
        <w:ind w:firstLine="709"/>
        <w:jc w:val="both"/>
        <w:tabs>
          <w:tab w:val="left" w:pos="1134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44 Федерального закона от 31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июля 2020 года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№248-ФЗ «О государственном контроле (надзоре) и муниципальном контроле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Российской Федерации», постановлением Правительства Российской Федерации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от 25 июня 2021</w:t>
      </w:r>
      <w:r>
        <w:rPr>
          <w:sz w:val="26"/>
          <w:szCs w:val="26"/>
          <w:shd w:val="clear" w:fill="FFFFFF" w:color="FFFFFF"/>
        </w:rPr>
        <w:t xml:space="preserve"> </w:t>
      </w:r>
      <w:r>
        <w:rPr>
          <w:sz w:val="26"/>
          <w:szCs w:val="26"/>
          <w:shd w:val="clear" w:fill="FFFFFF" w:color="FFFFFF"/>
        </w:rPr>
        <w:t xml:space="preserve">года №</w:t>
      </w:r>
      <w:r>
        <w:rPr>
          <w:rStyle w:val="af"/>
          <w:i w:val="false"/>
          <w:iCs w:val="false"/>
          <w:sz w:val="26"/>
          <w:szCs w:val="26"/>
          <w:shd w:val="clear" w:fill="FFFFFF" w:color="FFFFFF"/>
        </w:rPr>
        <w:t xml:space="preserve">990 «</w:t>
      </w:r>
      <w:r>
        <w:rPr>
          <w:sz w:val="26"/>
          <w:szCs w:val="26"/>
          <w:shd w:val="clear" w:fill="FFFFFF" w:color="FFFFFF"/>
        </w:rPr>
        <w:t xml:space="preserve"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6"/>
          <w:szCs w:val="26"/>
          <w:shd w:val="clear" w:fill="FFFFFF" w:color="FFFFFF"/>
        </w:rPr>
        <w:t xml:space="preserve">»</w:t>
      </w:r>
      <w:r>
        <w:rPr>
          <w:sz w:val="26"/>
          <w:szCs w:val="26"/>
        </w:rPr>
        <w:t xml:space="preserve">, решением Совета депутатов Грайворонского городского округа от 27 октября</w:t>
      </w:r>
      <w:r>
        <w:rPr>
          <w:sz w:val="26"/>
          <w:szCs w:val="26"/>
        </w:rPr>
        <w:t xml:space="preserve"> 2021 года №455 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Грайворонского городского округа» </w:t>
      </w:r>
      <w:r>
        <w:rPr>
          <w:b/>
          <w:spacing w:val="40"/>
          <w:sz w:val="26"/>
          <w:szCs w:val="26"/>
        </w:rPr>
        <w:t xml:space="preserve">постановля</w:t>
      </w:r>
      <w:r>
        <w:rPr>
          <w:b/>
          <w:sz w:val="26"/>
          <w:szCs w:val="26"/>
        </w:rPr>
        <w:t xml:space="preserve">ю:</w:t>
      </w:r>
    </w:p>
    <w:p>
      <w:pPr>
        <w:ind w:firstLine="709"/>
        <w:jc w:val="both"/>
        <w:tabs>
          <w:tab w:val="left" w:pos="1134"/>
        </w:tabs>
        <w:rPr>
          <w:sz w:val="26"/>
          <w:szCs w:val="26"/>
        </w:rPr>
        <w:outlineLvl w:val="0"/>
      </w:pPr>
      <w:r>
        <w:rPr>
          <w:sz w:val="26"/>
          <w:szCs w:val="26"/>
        </w:rPr>
        <w:t xml:space="preserve">1.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Утвердить Программу </w:t>
      </w:r>
      <w:r>
        <w:rPr>
          <w:sz w:val="26"/>
          <w:szCs w:val="26"/>
        </w:rPr>
        <w:t xml:space="preserve">профилактики рисков причинения вреда (ущерба) охраняемым законом ценностям на 2023 год в рамках муниципального контроля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на автомобильном транспорте, городском наземном электрическом транспорте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и в дорожном хозяйстве в границах Грайворонского городского округа</w:t>
      </w:r>
      <w:r>
        <w:rPr>
          <w:sz w:val="26"/>
          <w:szCs w:val="26"/>
        </w:rPr>
        <w:t xml:space="preserve"> (прилагается)</w:t>
      </w:r>
      <w:r>
        <w:rPr>
          <w:sz w:val="26"/>
          <w:szCs w:val="26"/>
        </w:rPr>
        <w:t xml:space="preserve">.</w:t>
      </w:r>
    </w:p>
    <w:p>
      <w:pPr>
        <w:ind w:firstLine="709"/>
        <w:jc w:val="both"/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 xml:space="preserve">2.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Управлению по строительству, транспорту, ЖКХ и ТЭК администрации Грайворонского г</w:t>
      </w:r>
      <w:r>
        <w:rPr>
          <w:sz w:val="26"/>
          <w:szCs w:val="26"/>
        </w:rPr>
        <w:t xml:space="preserve">ородского округа (</w:t>
      </w:r>
      <w:r>
        <w:rPr>
          <w:sz w:val="26"/>
          <w:szCs w:val="26"/>
        </w:rPr>
        <w:t xml:space="preserve">Твердун</w:t>
      </w:r>
      <w:r>
        <w:rPr>
          <w:sz w:val="26"/>
          <w:szCs w:val="26"/>
        </w:rPr>
        <w:t xml:space="preserve"> Р.Г.)</w:t>
      </w:r>
      <w:r>
        <w:rPr>
          <w:sz w:val="26"/>
          <w:szCs w:val="26"/>
        </w:rPr>
        <w:t xml:space="preserve"> обеспечить выполнение Программы </w:t>
      </w:r>
      <w:r>
        <w:rPr>
          <w:sz w:val="26"/>
          <w:szCs w:val="26"/>
        </w:rPr>
        <w:t xml:space="preserve">профилактики рисков причинения вреда (ущерба) охраняемым законом ценностям на 2023 год в рамках муниципального контроля на автомобильном транспорте, городском наземном электрическом транспорте и в дорожном хозяйстве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в границах Грайворонского городского округа</w:t>
      </w:r>
      <w:r>
        <w:rPr>
          <w:sz w:val="26"/>
          <w:szCs w:val="26"/>
        </w:rPr>
        <w:t xml:space="preserve">.</w:t>
      </w:r>
    </w:p>
    <w:p>
      <w:pPr>
        <w:ind w:firstLine="709"/>
        <w:jc w:val="both"/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 xml:space="preserve">3</w:t>
      </w:r>
      <w:r>
        <w:rPr>
          <w:sz w:val="26"/>
          <w:szCs w:val="26"/>
        </w:rPr>
        <w:t xml:space="preserve">.</w:t>
      </w:r>
      <w:r>
        <w:rPr>
          <w:sz w:val="26"/>
          <w:szCs w:val="26"/>
        </w:rPr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(</w:t>
      </w:r>
      <w:r>
        <w:rPr>
          <w:sz w:val="26"/>
          <w:szCs w:val="26"/>
          <w:lang w:val="en-US"/>
        </w:rPr>
        <w:t xml:space="preserve">grajvoron</w:t>
      </w:r>
      <w:r>
        <w:rPr>
          <w:sz w:val="26"/>
          <w:szCs w:val="26"/>
        </w:rPr>
        <w:t xml:space="preserve">-</w:t>
      </w:r>
      <w:r>
        <w:rPr>
          <w:sz w:val="26"/>
          <w:szCs w:val="26"/>
          <w:lang w:val="en-US"/>
        </w:rPr>
        <w:t xml:space="preserve">r</w:t>
      </w:r>
      <w:r>
        <w:rPr>
          <w:sz w:val="26"/>
          <w:szCs w:val="26"/>
        </w:rPr>
        <w:t xml:space="preserve">31.</w:t>
      </w:r>
      <w:r>
        <w:rPr>
          <w:sz w:val="26"/>
          <w:szCs w:val="26"/>
          <w:lang w:val="en-US"/>
        </w:rPr>
        <w:t xml:space="preserve">gosweb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gosuslugi</w:t>
      </w:r>
      <w:r>
        <w:rPr>
          <w:sz w:val="26"/>
          <w:szCs w:val="26"/>
        </w:rPr>
        <w:t xml:space="preserve">.</w:t>
      </w:r>
      <w:r>
        <w:rPr>
          <w:sz w:val="26"/>
          <w:szCs w:val="26"/>
          <w:lang w:val="en-US"/>
        </w:rPr>
        <w:t xml:space="preserve">ru</w:t>
      </w:r>
      <w:r>
        <w:rPr>
          <w:sz w:val="26"/>
          <w:szCs w:val="26"/>
        </w:rPr>
        <w:t xml:space="preserve">).</w:t>
      </w:r>
    </w:p>
    <w:p>
      <w:pPr>
        <w:ind w:firstLine="709"/>
        <w:jc w:val="both"/>
        <w:tabs>
          <w:tab w:val="left" w:pos="1134"/>
        </w:tabs>
        <w:rPr>
          <w:sz w:val="26"/>
          <w:szCs w:val="26"/>
        </w:rPr>
      </w:pPr>
      <w:r>
        <w:rPr>
          <w:sz w:val="26"/>
          <w:szCs w:val="26"/>
        </w:rPr>
        <w:t xml:space="preserve">4.</w:t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Контроль за</w:t>
      </w:r>
      <w:r>
        <w:rPr>
          <w:sz w:val="26"/>
          <w:szCs w:val="26"/>
        </w:rPr>
        <w:t xml:space="preserve"> исполнением постановления возложить на заместителя главы администрации</w:t>
      </w:r>
      <w:r>
        <w:rPr>
          <w:sz w:val="26"/>
          <w:szCs w:val="26"/>
        </w:rPr>
        <w:t xml:space="preserve"> городского</w:t>
      </w:r>
      <w:r>
        <w:rPr>
          <w:sz w:val="26"/>
          <w:szCs w:val="26"/>
        </w:rPr>
        <w:t xml:space="preserve"> округа – начальника управления по строител</w:t>
      </w:r>
      <w:r>
        <w:rPr>
          <w:sz w:val="26"/>
          <w:szCs w:val="26"/>
        </w:rPr>
        <w:t xml:space="preserve">ьству, транспорту, ЖКХ и ТЭК Р.</w:t>
      </w:r>
      <w:r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Твердуна</w:t>
      </w:r>
      <w:r>
        <w:rPr>
          <w:sz w:val="26"/>
          <w:szCs w:val="26"/>
        </w:rPr>
        <w:t xml:space="preserve">.</w:t>
      </w:r>
    </w:p>
    <w:p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821"/>
      </w:tblGrid>
      <w:tr>
        <w:tc>
          <w:tcPr>
            <w:tcW w:w="4926" w:type="dxa"/>
          </w:tcPr>
          <w:p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821" w:type="dxa"/>
          </w:tcPr>
          <w:p>
            <w:pPr>
              <w:ind w:right="-114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Г.И. Бондарев</w:t>
            </w:r>
          </w:p>
        </w:tc>
      </w:tr>
    </w:tbl>
    <w:p>
      <w:pPr>
        <w:ind w:left="5940"/>
        <w:jc w:val="right"/>
      </w:pPr>
      <w:bookmarkStart w:id="0" w:name="_GoBack"/>
      <w:bookmarkEnd w:id="0"/>
    </w:p>
    <w:p>
      <w:pPr>
        <w:ind w:left="5940"/>
        <w:jc w:val="right"/>
      </w:pPr>
    </w:p>
    <w:tbl>
      <w:tblPr>
        <w:tblW w:w="9933" w:type="dxa"/>
        <w:tblLayout w:type="fixed"/>
        <w:tblLook w:val="0000" w:firstRow="0" w:lastRow="0" w:firstColumn="0" w:lastColumn="0" w:noHBand="0" w:noVBand="0"/>
      </w:tblPr>
      <w:tblGrid>
        <w:gridCol w:w="4788"/>
        <w:gridCol w:w="5145"/>
      </w:tblGrid>
      <w:tr>
        <w:tc>
          <w:tcPr>
            <w:tcW w:w="4788" w:type="dxa"/>
          </w:tcPr>
          <w:p>
            <w:pPr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br w:type="page"/>
            </w:r>
          </w:p>
        </w:tc>
        <w:tc>
          <w:tcPr>
            <w:tcW w:w="5145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Приложение 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УТВЕРЖДЕНА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</w:t>
            </w:r>
            <w:r>
              <w:rPr>
                <w:b/>
                <w:sz w:val="28"/>
                <w:szCs w:val="28"/>
              </w:rPr>
              <w:t xml:space="preserve">ем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администрации Грайворонского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городского округа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>
              <w:rPr>
                <w:b/>
                <w:sz w:val="28"/>
                <w:szCs w:val="28"/>
              </w:rPr>
              <w:t xml:space="preserve">«___»____________ 20</w:t>
            </w:r>
            <w:r>
              <w:rPr>
                <w:b/>
                <w:sz w:val="28"/>
                <w:szCs w:val="28"/>
              </w:rPr>
              <w:t xml:space="preserve">__</w:t>
            </w:r>
            <w:r>
              <w:rPr>
                <w:b/>
                <w:sz w:val="28"/>
                <w:szCs w:val="28"/>
              </w:rPr>
              <w:t xml:space="preserve"> г</w:t>
            </w:r>
            <w:r>
              <w:rPr>
                <w:b/>
                <w:sz w:val="28"/>
                <w:szCs w:val="28"/>
              </w:rPr>
              <w:t xml:space="preserve">ода</w:t>
            </w:r>
            <w:r>
              <w:rPr>
                <w:b/>
                <w:sz w:val="28"/>
                <w:szCs w:val="28"/>
              </w:rPr>
              <w:t xml:space="preserve"> №____</w:t>
            </w:r>
          </w:p>
          <w:p>
            <w:pPr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  <w:p>
            <w:pPr>
              <w:jc w:val="both"/>
              <w:rPr>
                <w:rFonts w:ascii="Times New Roman CYR" w:hAnsi="Times New Roman CYR" w:cs="Times New Roman CYR"/>
                <w:b/>
                <w:bCs/>
                <w:sz w:val="26"/>
                <w:szCs w:val="26"/>
              </w:rPr>
            </w:pPr>
          </w:p>
        </w:tc>
      </w:tr>
    </w:tbl>
    <w:p>
      <w:pPr>
        <w:ind w:left="5940"/>
        <w:jc w:val="right"/>
      </w:pPr>
    </w:p>
    <w:p>
      <w:pPr>
        <w:ind w:left="5940"/>
        <w:jc w:val="right"/>
      </w:pPr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профилактики рисков причинения вреда (ущерба) охраняемым законом ценностям на 2023 год в рамках муниципального контроля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Грайворонского городского округа</w:t>
      </w:r>
    </w:p>
    <w:p>
      <w:pPr>
        <w:jc w:val="center"/>
        <w:rPr>
          <w:b/>
          <w:sz w:val="28"/>
          <w:szCs w:val="28"/>
        </w:rPr>
        <w:outlineLvl w:val="0"/>
      </w:pPr>
    </w:p>
    <w:p>
      <w:pPr>
        <w:numPr>
          <w:numId w:val="6"/>
          <w:ilvl w:val="0"/>
        </w:numPr>
        <w:ind w:left="0" w:firstLine="0"/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Анализ текущего состояния осуществления муниципального </w:t>
      </w:r>
      <w:r>
        <w:rPr>
          <w:b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хозяйстве,</w:t>
      </w:r>
      <w:r>
        <w:rPr>
          <w:b/>
          <w:sz w:val="28"/>
          <w:szCs w:val="28"/>
        </w:rPr>
        <w:t xml:space="preserve">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>
      <w:pPr>
        <w:jc w:val="both"/>
        <w:outlineLvl w:val="0"/>
      </w:pPr>
    </w:p>
    <w:p>
      <w:pPr>
        <w:ind w:firstLine="709"/>
        <w:jc w:val="both"/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рограмма разработана в соответствии со статьей 44 Федерального закона от 31 июля 202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 года №248-ФЗ «О го</w:t>
      </w:r>
      <w:r>
        <w:rPr>
          <w:sz w:val="28"/>
          <w:szCs w:val="28"/>
        </w:rPr>
        <w:t xml:space="preserve">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r>
        <w:rPr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Грайворонского городского округа.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Грайворонского городского округа (далее – контрольный орган) в соответствии с </w:t>
      </w:r>
      <w:r>
        <w:rPr>
          <w:sz w:val="28"/>
          <w:szCs w:val="28"/>
        </w:rPr>
        <w:t xml:space="preserve">Положением о муниципальном контроле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границах Грайворонского городского округа»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(далее - Положение), утвержденным решением Совета депутатов Грайворонского городского округа от 27 октября 2021 года №455,</w:t>
      </w:r>
      <w:r>
        <w:rPr>
          <w:sz w:val="28"/>
          <w:szCs w:val="28"/>
        </w:rPr>
        <w:t xml:space="preserve"> осуществляет муниципальный контроль на автомобильном транспорте, </w:t>
      </w:r>
      <w:r>
        <w:rPr>
          <w:sz w:val="28"/>
          <w:szCs w:val="28"/>
        </w:rPr>
        <w:t xml:space="preserve">городском наземном электрическом транспорте и в дорожном хозяйстве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(далее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 муниципальный автодорожный контроль).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Предметом муниципального автодорожного контроля являются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соблюдение юридическими лицами, индивидуальными предпринимателями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физическими лицами (далее </w:t>
      </w: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 xml:space="preserve"> контролируемые лица) обязательных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требований: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в области автомобильных дорог и дорожной деятельности,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установленных в отношении автомобильных дорог местного значения: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 эксплуатации объектов дорожного сервиса, размещенных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полосах отвода и (или) придорожных полосах автомобильных дорог общего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пользования;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 осуществлению работ по капитальному ремонту, ремонту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содержанию автомобильных дорог общего пользования и искусственных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дорожных сооружений на них (включая требования к дорожно-строительным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материалам и изделиям) в части обеспечения сохранности автомобильных</w:t>
      </w:r>
      <w:r>
        <w:rPr>
          <w:color w:val="000000"/>
          <w:sz w:val="28"/>
          <w:szCs w:val="28"/>
        </w:rPr>
        <w:t xml:space="preserve"> дорог</w:t>
      </w:r>
      <w:r>
        <w:rPr>
          <w:color w:val="000000"/>
          <w:sz w:val="28"/>
          <w:szCs w:val="28"/>
        </w:rPr>
        <w:t xml:space="preserve">;</w:t>
      </w:r>
      <w:r>
        <w:rPr>
          <w:color w:val="000000"/>
          <w:sz w:val="28"/>
          <w:szCs w:val="28"/>
        </w:rPr>
        <w:t xml:space="preserve"> 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установленных в отношении перевозок по муниципальным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маршрутам регулярных перевозок, не относящиеся к предмету федерального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государственного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контроля (надзора) на автомобильном транспорте,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городском наземном электрическом транспорте и в дорожном хозяйстве 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области организации регулярных перевозок.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Объектами контроля в рамках муниципального автодорожного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контроля, являются:</w:t>
      </w:r>
    </w:p>
    <w:p>
      <w:pPr>
        <w:ind w:firstLine="709"/>
        <w:jc w:val="both"/>
        <w:shd w:val="clear" w:fill="FFFFFF" w:color="FFFFFF"/>
        <w:tabs>
          <w:tab w:val="left" w:pos="99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  <w:t xml:space="preserve">в</w:t>
      </w:r>
      <w:r>
        <w:rPr>
          <w:color w:val="000000"/>
          <w:sz w:val="28"/>
          <w:szCs w:val="28"/>
        </w:rPr>
        <w:t xml:space="preserve"> рамках пункта 1 части 1 статьи 16 Федерального закона 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31</w:t>
      </w:r>
      <w:r>
        <w:rPr>
          <w:color w:val="000000"/>
          <w:sz w:val="28"/>
          <w:szCs w:val="28"/>
        </w:rPr>
        <w:t xml:space="preserve"> июля </w:t>
      </w:r>
      <w:r>
        <w:rPr>
          <w:color w:val="000000"/>
          <w:sz w:val="28"/>
          <w:szCs w:val="28"/>
        </w:rPr>
        <w:t xml:space="preserve">2020</w:t>
      </w:r>
      <w:r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№ 248-ФЗ «О государственном контроле (надзоре) 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муниципальном </w:t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онтроле в Российской Федерации»: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деятельность по перевозке пассажиров и грузов автомобильным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транспортом и городским наземным электрическим транспортом, в том</w:t>
      </w:r>
      <w:r>
        <w:rPr>
          <w:color w:val="000000"/>
          <w:sz w:val="28"/>
          <w:szCs w:val="28"/>
        </w:rPr>
        <w:t xml:space="preserve"> числе</w:t>
      </w:r>
      <w:r>
        <w:rPr>
          <w:color w:val="000000"/>
          <w:sz w:val="28"/>
          <w:szCs w:val="28"/>
        </w:rPr>
        <w:t xml:space="preserve">: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деятельность по организованной перевозке группы детей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автобусами;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деятельность по перевозке опасных грузов;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деятельность по перевозке пассажиров и грузов для собственных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нужд (за исключением деятельности, подлежащей лицензированию);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деятельность по перевозке пассажиров и иных лиц автобусами,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подлежащая лицензированию;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деятельность по осуществлению работ по капитальному ремонту,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ремонту и содержанию автомобильных дорог общего пользования;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деятельность по использованию полос отвода и (или) придорожных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полос автомобильных дорог общего пользования местного значения;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  <w:t xml:space="preserve">в</w:t>
      </w:r>
      <w:r>
        <w:rPr>
          <w:color w:val="000000"/>
          <w:sz w:val="28"/>
          <w:szCs w:val="28"/>
        </w:rPr>
        <w:t xml:space="preserve"> рамках пункта 2 части 1 статьи 16 Федерального закона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31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июля 2020 года № 248-ФЗ «О государственном контроле (надзоре)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муниципальном контроле в Российской Федерации»: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дорожно-строительные материалы, указанные в приложении № 1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Техническому</w:t>
      </w:r>
      <w:r>
        <w:rPr>
          <w:color w:val="000000"/>
          <w:sz w:val="28"/>
          <w:szCs w:val="28"/>
        </w:rPr>
        <w:t xml:space="preserve"> регламенту Таможенного союза «Безопасность </w:t>
      </w:r>
      <w:r>
        <w:rPr>
          <w:color w:val="000000"/>
          <w:sz w:val="28"/>
          <w:szCs w:val="28"/>
        </w:rPr>
        <w:t xml:space="preserve">автомобильных дорог» </w:t>
      </w:r>
      <w:r>
        <w:rPr>
          <w:color w:val="000000"/>
          <w:sz w:val="28"/>
          <w:szCs w:val="28"/>
        </w:rPr>
        <w:t xml:space="preserve">ТР</w:t>
      </w:r>
      <w:r>
        <w:rPr>
          <w:color w:val="000000"/>
          <w:sz w:val="28"/>
          <w:szCs w:val="28"/>
        </w:rPr>
        <w:t xml:space="preserve"> ТС 014/2011;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дорожно-строительные изделия, указанные в приложении № 2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к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Техническому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регламенту Таможенного союза «Безопасность </w:t>
      </w:r>
      <w:r>
        <w:rPr>
          <w:color w:val="000000"/>
          <w:sz w:val="28"/>
          <w:szCs w:val="28"/>
        </w:rPr>
        <w:t xml:space="preserve">автомобильных дорог» </w:t>
      </w:r>
      <w:r>
        <w:rPr>
          <w:color w:val="000000"/>
          <w:sz w:val="28"/>
          <w:szCs w:val="28"/>
        </w:rPr>
        <w:t xml:space="preserve">ТР</w:t>
      </w:r>
      <w:r>
        <w:rPr>
          <w:color w:val="000000"/>
          <w:sz w:val="28"/>
          <w:szCs w:val="28"/>
        </w:rPr>
        <w:t xml:space="preserve"> ТС 014/2011</w:t>
      </w:r>
      <w:r>
        <w:rPr>
          <w:color w:val="000000"/>
          <w:sz w:val="28"/>
          <w:szCs w:val="28"/>
        </w:rPr>
        <w:t xml:space="preserve">;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  <w:t xml:space="preserve">в</w:t>
      </w:r>
      <w:r>
        <w:rPr>
          <w:color w:val="000000"/>
          <w:sz w:val="28"/>
          <w:szCs w:val="28"/>
        </w:rPr>
        <w:t xml:space="preserve"> рамках пункта 3 части 1 статьи 16 Федерального закона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31</w:t>
      </w:r>
      <w:r>
        <w:rPr>
          <w:color w:val="000000"/>
          <w:sz w:val="28"/>
          <w:szCs w:val="28"/>
        </w:rPr>
        <w:t xml:space="preserve"> июля </w:t>
      </w:r>
      <w:r>
        <w:rPr>
          <w:color w:val="000000"/>
          <w:sz w:val="28"/>
          <w:szCs w:val="28"/>
        </w:rPr>
        <w:t xml:space="preserve">2020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</w:t>
      </w:r>
      <w:r>
        <w:rPr>
          <w:color w:val="000000"/>
          <w:sz w:val="28"/>
          <w:szCs w:val="28"/>
        </w:rPr>
        <w:t xml:space="preserve">ода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248-ФЗ «О государственном контроле (надзоре)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муниципальном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контроле в Российской Федерации»: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остановочный пункт, в том числе расположенный на территории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автостанции;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транспортное средство;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автомобильная дорога общего пользования местного значения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искусственные дорожные сооружения на ней;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примыкания к автомобильным дорогам местного значения,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 том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числе примыкания объектов дорожного сервиса;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объекты дорожного сервиса, расположенные в границах полос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отвода и (или) придорожных полос автомобильных дорог общего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пользования местного значения;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6) придорожные полосы и по</w:t>
      </w:r>
      <w:r>
        <w:rPr>
          <w:color w:val="000000"/>
          <w:sz w:val="28"/>
          <w:szCs w:val="28"/>
        </w:rPr>
        <w:t xml:space="preserve">лосы </w:t>
      </w:r>
      <w:r>
        <w:rPr>
          <w:color w:val="000000"/>
          <w:sz w:val="28"/>
          <w:szCs w:val="28"/>
        </w:rPr>
        <w:t xml:space="preserve">отвода</w:t>
      </w:r>
      <w:r>
        <w:rPr>
          <w:color w:val="000000"/>
          <w:sz w:val="28"/>
          <w:szCs w:val="28"/>
        </w:rPr>
        <w:t xml:space="preserve"> автомобильных дорог </w:t>
      </w:r>
      <w:r>
        <w:rPr>
          <w:color w:val="000000"/>
          <w:sz w:val="28"/>
          <w:szCs w:val="28"/>
        </w:rPr>
        <w:t xml:space="preserve">общего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пользования местного значения.</w:t>
      </w:r>
    </w:p>
    <w:p>
      <w:pPr>
        <w:contextualSpacing w:val="tr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Контрольным органом за 2022 год проведено 0 проверок соблюдения действующего законодательства Российской Федерации в указанной сфере.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профилактики</w:t>
      </w:r>
      <w:r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контрольным органом</w:t>
      </w:r>
      <w:r>
        <w:rPr>
          <w:sz w:val="28"/>
          <w:szCs w:val="28"/>
        </w:rPr>
        <w:t xml:space="preserve"> в 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году осуществляются следующие мероприятия:</w:t>
      </w:r>
    </w:p>
    <w:p>
      <w:pPr>
        <w:numPr>
          <w:numId w:val="5"/>
          <w:ilvl w:val="0"/>
        </w:numPr>
        <w:ind w:left="0" w:firstLine="709"/>
        <w:jc w:val="both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>
      <w:pPr>
        <w:numPr>
          <w:numId w:val="5"/>
          <w:ilvl w:val="0"/>
        </w:numPr>
        <w:ind w:left="0" w:firstLine="709"/>
        <w:jc w:val="both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</w:p>
    <w:p>
      <w:pPr>
        <w:ind w:firstLine="709"/>
        <w:jc w:val="both"/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 xml:space="preserve">За 2022 год администрацией выдано 0 предостережений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недопустимости нарушения обязательных требований.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Характеристика проблем, на решение которых направлена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программа профилактики:</w:t>
      </w:r>
    </w:p>
    <w:p>
      <w:pPr>
        <w:ind w:firstLine="709"/>
        <w:jc w:val="both"/>
        <w:shd w:val="clear" w:fill="FFFFFF" w:color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к основным проблемам в сфере транспорта относится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отсутствие транспортных дорожных условий между населенными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пунктами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позволяющими обеспечить установление муниципальных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маршрутов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движения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общественного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требованиям дорожной безопасности.</w:t>
      </w:r>
    </w:p>
    <w:p>
      <w:pPr>
        <w:ind w:firstLine="567"/>
        <w:jc w:val="both"/>
      </w:pPr>
    </w:p>
    <w:p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fill="FFFFFF" w:color="FFFFFF"/>
        </w:rPr>
        <w:t xml:space="preserve">2. Цели и</w:t>
      </w:r>
      <w:r>
        <w:rPr>
          <w:b/>
          <w:color w:val="000000"/>
          <w:sz w:val="28"/>
          <w:szCs w:val="28"/>
          <w:shd w:val="clear" w:fill="FFFFFF" w:color="FFFFFF"/>
        </w:rPr>
        <w:t xml:space="preserve"> </w:t>
      </w:r>
      <w:r>
        <w:rPr>
          <w:b/>
          <w:color w:val="000000"/>
          <w:sz w:val="28"/>
          <w:szCs w:val="28"/>
          <w:shd w:val="clear" w:fill="FFFFFF" w:color="FFFFFF"/>
        </w:rPr>
        <w:t xml:space="preserve">задачи реализации Программы</w:t>
      </w:r>
    </w:p>
    <w:p>
      <w:pPr>
        <w:ind w:firstLine="567"/>
        <w:jc w:val="both"/>
        <w:rPr>
          <w:sz w:val="28"/>
          <w:szCs w:val="28"/>
        </w:rPr>
      </w:pP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Целями профилактической работы являются: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устранение условий, причин и факторов, способных привести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нарушениям обязательных требований и (или) причинению вреда (ущерба) охраняемым законом ценностям; 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создание условий для доведения обязательных требований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до контролируемых лиц, повышение информированности о способах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их соблюдения;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предупреждение </w:t>
      </w:r>
      <w:r>
        <w:rPr>
          <w:sz w:val="28"/>
          <w:szCs w:val="28"/>
        </w:rPr>
        <w:t xml:space="preserve">нарушений</w:t>
      </w:r>
      <w:r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снижение административной нагрузки на контролируемых лиц;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снижение размера ущерба, причиняемого охраняемым законом ценностям</w:t>
      </w:r>
      <w:r>
        <w:rPr>
          <w:sz w:val="28"/>
          <w:szCs w:val="28"/>
        </w:rPr>
        <w:t xml:space="preserve">;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повышение прозрачности системы контрольной деятельности.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Задачами профилактической работы являются: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укрепление системы профилактики нарушений обязательных требований;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повышение правосознания и правовой культуры организаций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граждан в сфере рассматриваемых правоотношений.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рограмму возможно внесение изменений и корректировка перечня мероприятий в связи с необходимостью осуществления профилактических мер. Изменения в данную часть Программы в случае необходимости вносятся ежемесячно без проведения публичного слушания.</w:t>
      </w:r>
    </w:p>
    <w:p>
      <w:pPr>
        <w:ind w:firstLine="567"/>
        <w:jc w:val="center"/>
        <w:rPr>
          <w:b/>
          <w:color w:val="000000"/>
          <w:sz w:val="28"/>
          <w:szCs w:val="28"/>
          <w:shd w:val="clear" w:fill="FFFFFF" w:color="FFFFFF"/>
        </w:rPr>
      </w:pPr>
    </w:p>
    <w:p>
      <w:pPr>
        <w:ind w:firstLine="567"/>
        <w:jc w:val="center"/>
        <w:rPr>
          <w:b/>
          <w:color w:val="000000"/>
          <w:sz w:val="28"/>
          <w:szCs w:val="28"/>
          <w:shd w:val="clear" w:fill="FFFFFF" w:color="FFFFFF"/>
        </w:rPr>
      </w:pPr>
      <w:r>
        <w:rPr>
          <w:b/>
          <w:color w:val="000000"/>
          <w:sz w:val="28"/>
          <w:szCs w:val="28"/>
          <w:shd w:val="clear" w:fill="FFFFFF" w:color="FFFFFF"/>
        </w:rPr>
        <w:t xml:space="preserve">3. Перечень профилактических мероприятий, сроки (периодичность) их</w:t>
      </w:r>
      <w:r>
        <w:rPr>
          <w:b/>
          <w:color w:val="000000"/>
          <w:sz w:val="28"/>
          <w:szCs w:val="28"/>
          <w:shd w:val="clear" w:fill="FFFFFF" w:color="FFFFFF"/>
        </w:rPr>
        <w:t xml:space="preserve"> </w:t>
      </w:r>
      <w:r>
        <w:rPr>
          <w:b/>
          <w:color w:val="000000"/>
          <w:sz w:val="28"/>
          <w:szCs w:val="28"/>
          <w:shd w:val="clear" w:fill="FFFFFF" w:color="FFFFFF"/>
        </w:rPr>
        <w:t xml:space="preserve">проведения</w:t>
      </w:r>
    </w:p>
    <w:p>
      <w:pPr>
        <w:ind w:firstLine="567"/>
        <w:jc w:val="center"/>
        <w:rPr>
          <w:b/>
          <w:color w:val="000000"/>
          <w:sz w:val="28"/>
          <w:szCs w:val="28"/>
          <w:shd w:val="clear" w:fill="FFFFFF" w:color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3967"/>
        <w:gridCol w:w="2464"/>
        <w:gridCol w:w="2357"/>
      </w:tblGrid>
      <w:tr>
        <w:trPr>
          <w:tblHeader/>
        </w:trPr>
        <w:tc>
          <w:tcPr>
            <w:tcW w:w="95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 </w:t>
            </w:r>
          </w:p>
          <w:p>
            <w:pPr>
              <w:jc w:val="center"/>
              <w:rPr>
                <w:b/>
                <w:color w:val="000000"/>
                <w:sz w:val="28"/>
                <w:szCs w:val="28"/>
                <w:shd w:val="clear" w:fill="FFFFFF" w:color="FFFFFF"/>
              </w:rPr>
            </w:pPr>
            <w:r>
              <w:rPr>
                <w:b/>
                <w:sz w:val="24"/>
                <w:szCs w:val="24"/>
              </w:rPr>
              <w:t xml:space="preserve">п</w:t>
            </w:r>
            <w:r>
              <w:rPr>
                <w:b/>
                <w:sz w:val="24"/>
                <w:szCs w:val="24"/>
              </w:rPr>
              <w:t xml:space="preserve">/</w:t>
            </w:r>
            <w:r>
              <w:rPr>
                <w:b/>
                <w:sz w:val="24"/>
                <w:szCs w:val="24"/>
              </w:rPr>
              <w:t xml:space="preserve">п</w:t>
            </w:r>
          </w:p>
        </w:tc>
        <w:tc>
          <w:tcPr>
            <w:tcW w:w="3967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</w:t>
            </w:r>
          </w:p>
          <w:p>
            <w:pPr>
              <w:jc w:val="center"/>
              <w:rPr>
                <w:b/>
                <w:color w:val="000000"/>
                <w:sz w:val="28"/>
                <w:szCs w:val="28"/>
                <w:shd w:val="clear" w:fill="FFFFFF" w:color="FFFFFF"/>
              </w:rPr>
            </w:pPr>
            <w:r>
              <w:rPr>
                <w:b/>
                <w:sz w:val="24"/>
                <w:szCs w:val="24"/>
              </w:rPr>
              <w:t xml:space="preserve">мероприятия</w:t>
            </w:r>
          </w:p>
        </w:tc>
        <w:tc>
          <w:tcPr>
            <w:tcW w:w="2464" w:type="dxa"/>
          </w:tcPr>
          <w:p>
            <w:pPr>
              <w:jc w:val="center"/>
              <w:rPr>
                <w:b/>
                <w:color w:val="000000"/>
                <w:sz w:val="28"/>
                <w:szCs w:val="28"/>
                <w:shd w:val="clear" w:fill="FFFFFF" w:color="FFFFFF"/>
              </w:rPr>
            </w:pPr>
            <w:r>
              <w:rPr>
                <w:b/>
                <w:sz w:val="24"/>
                <w:szCs w:val="24"/>
              </w:rPr>
              <w:t xml:space="preserve">Срок реализации мероприятия</w:t>
            </w:r>
          </w:p>
        </w:tc>
        <w:tc>
          <w:tcPr>
            <w:tcW w:w="2357" w:type="dxa"/>
          </w:tcPr>
          <w:p>
            <w:pPr>
              <w:jc w:val="center"/>
              <w:rPr>
                <w:b/>
                <w:color w:val="000000"/>
                <w:sz w:val="28"/>
                <w:szCs w:val="28"/>
                <w:shd w:val="clear" w:fill="FFFFFF" w:color="FFFFFF"/>
              </w:rPr>
            </w:pPr>
            <w:r>
              <w:rPr>
                <w:b/>
                <w:sz w:val="24"/>
                <w:szCs w:val="24"/>
              </w:rPr>
              <w:t xml:space="preserve">Ответственное должностное лицо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color w:val="000000"/>
                <w:sz w:val="28"/>
                <w:szCs w:val="28"/>
                <w:shd w:val="clear" w:fill="FFFFFF" w:color="FFFFFF"/>
              </w:rPr>
            </w:pPr>
            <w:r>
              <w:rPr>
                <w:color w:val="000000"/>
                <w:sz w:val="28"/>
                <w:szCs w:val="28"/>
                <w:shd w:val="clear" w:fill="FFFFFF" w:color="FFFFFF"/>
              </w:rPr>
              <w:t xml:space="preserve">1</w:t>
            </w:r>
          </w:p>
        </w:tc>
        <w:tc>
          <w:tcPr>
            <w:tcW w:w="3967" w:type="dxa"/>
          </w:tcPr>
          <w:p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Информирование.</w:t>
            </w:r>
          </w:p>
          <w:p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ConsPlusNormal"/>
              <w:ind w:right="131" w:firstLine="119"/>
              <w:jc w:val="center"/>
              <w:rPr>
                <w:b/>
                <w:color w:val="000000"/>
                <w:sz w:val="28"/>
                <w:szCs w:val="28"/>
                <w:shd w:val="clear" w:fill="FFFFFF" w:color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органов местного самоуправления Грайворонского городского округа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grajvoron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gosweb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gosuslugi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печатном издании   муниципального образования</w:t>
            </w:r>
          </w:p>
        </w:tc>
        <w:tc>
          <w:tcPr>
            <w:tcW w:w="2464" w:type="dxa"/>
          </w:tcPr>
          <w:p>
            <w:pPr>
              <w:jc w:val="center"/>
              <w:rPr>
                <w:b/>
                <w:color w:val="000000"/>
                <w:sz w:val="28"/>
                <w:szCs w:val="28"/>
                <w:shd w:val="clear" w:fill="FFFFFF" w:color="FFFFFF"/>
              </w:rPr>
            </w:pPr>
            <w:r>
              <w:rPr>
                <w:sz w:val="24"/>
                <w:szCs w:val="24"/>
              </w:rPr>
              <w:t xml:space="preserve">Постоянно</w:t>
            </w:r>
          </w:p>
        </w:tc>
        <w:tc>
          <w:tcPr>
            <w:tcW w:w="2357" w:type="dxa"/>
          </w:tcPr>
          <w:p>
            <w:pPr>
              <w:jc w:val="center"/>
              <w:rPr>
                <w:b/>
                <w:color w:val="000000"/>
                <w:sz w:val="28"/>
                <w:szCs w:val="28"/>
                <w:shd w:val="clear" w:fill="FFFFFF" w:color="FFFFFF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администрации,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 xml:space="preserve"> к должностным обязанностям которого относится осуществление муниципального контроля</w:t>
            </w:r>
          </w:p>
        </w:tc>
      </w:tr>
      <w:tr>
        <w:tc>
          <w:tcPr>
            <w:tcW w:w="959" w:type="dxa"/>
          </w:tcPr>
          <w:p>
            <w:pPr>
              <w:jc w:val="center"/>
              <w:rPr>
                <w:color w:val="000000"/>
                <w:sz w:val="28"/>
                <w:szCs w:val="28"/>
                <w:shd w:val="clear" w:fill="FFFFFF" w:color="FFFFFF"/>
              </w:rPr>
            </w:pPr>
            <w:r>
              <w:rPr>
                <w:color w:val="000000"/>
                <w:sz w:val="28"/>
                <w:szCs w:val="28"/>
                <w:shd w:val="clear" w:fill="FFFFFF" w:color="FFFFFF"/>
              </w:rPr>
              <w:t xml:space="preserve">2</w:t>
            </w:r>
          </w:p>
        </w:tc>
        <w:tc>
          <w:tcPr>
            <w:tcW w:w="3967" w:type="dxa"/>
          </w:tcPr>
          <w:p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Консультирование.</w:t>
            </w:r>
          </w:p>
          <w:p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письменной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телефону, посредством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видео-конференц-связи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64" w:type="dxa"/>
          </w:tcPr>
          <w:p>
            <w:pPr>
              <w:jc w:val="center"/>
            </w:pPr>
            <w:r>
              <w:rPr>
                <w:sz w:val="24"/>
                <w:szCs w:val="24"/>
              </w:rPr>
              <w:t xml:space="preserve">Постоянно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по обращениям контролируемых лиц и их представителей</w:t>
            </w:r>
          </w:p>
        </w:tc>
        <w:tc>
          <w:tcPr>
            <w:tcW w:w="2357" w:type="dxa"/>
          </w:tcPr>
          <w:p>
            <w:pPr>
              <w:jc w:val="center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администрации, 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lang w:eastAsia="en-US"/>
              </w:rPr>
              <w:t xml:space="preserve">к должностным обязанностям которого относится осуществление муниципального контроля</w:t>
            </w:r>
          </w:p>
        </w:tc>
      </w:tr>
    </w:tbl>
    <w:p>
      <w:pPr>
        <w:ind w:firstLine="567"/>
        <w:jc w:val="center"/>
        <w:rPr>
          <w:b/>
          <w:color w:val="000000"/>
          <w:sz w:val="28"/>
          <w:szCs w:val="28"/>
          <w:shd w:val="clear" w:fill="FFFFFF" w:color="FFFFFF"/>
        </w:rPr>
      </w:pPr>
    </w:p>
    <w:p>
      <w:pPr>
        <w:jc w:val="center"/>
        <w:rPr>
          <w:b/>
          <w:color w:val="000000"/>
          <w:sz w:val="28"/>
          <w:szCs w:val="28"/>
          <w:shd w:val="clear" w:fill="FFFFFF" w:color="FFFFFF"/>
        </w:rPr>
      </w:pPr>
      <w:r>
        <w:rPr>
          <w:b/>
          <w:color w:val="000000"/>
          <w:sz w:val="28"/>
          <w:szCs w:val="28"/>
          <w:shd w:val="clear" w:fill="FFFFFF" w:color="FFFFFF"/>
        </w:rPr>
        <w:t xml:space="preserve">4. Показатели результативности и</w:t>
      </w:r>
      <w:r>
        <w:rPr>
          <w:b/>
          <w:color w:val="000000"/>
          <w:sz w:val="28"/>
          <w:szCs w:val="28"/>
          <w:shd w:val="clear" w:fill="FFFFFF" w:color="FFFFFF"/>
        </w:rPr>
        <w:t xml:space="preserve"> </w:t>
      </w:r>
      <w:r>
        <w:rPr>
          <w:b/>
          <w:color w:val="000000"/>
          <w:sz w:val="28"/>
          <w:szCs w:val="28"/>
          <w:shd w:val="clear" w:fill="FFFFFF" w:color="FFFFFF"/>
        </w:rPr>
        <w:t xml:space="preserve">эффективности Программы</w:t>
      </w:r>
    </w:p>
    <w:p>
      <w:pPr>
        <w:ind w:firstLine="567"/>
        <w:jc w:val="center"/>
      </w:pPr>
    </w:p>
    <w:p>
      <w:pPr>
        <w:ind w:firstLine="567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5752"/>
        <w:gridCol w:w="3178"/>
      </w:tblGrid>
      <w:tr>
        <w:tc>
          <w:tcPr>
            <w:tcW w:w="817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</w:t>
            </w:r>
            <w:r>
              <w:rPr>
                <w:b/>
                <w:sz w:val="24"/>
                <w:szCs w:val="24"/>
              </w:rPr>
              <w:t xml:space="preserve">/</w:t>
            </w:r>
            <w:r>
              <w:rPr>
                <w:b/>
                <w:sz w:val="24"/>
                <w:szCs w:val="24"/>
              </w:rPr>
              <w:t xml:space="preserve">п</w:t>
            </w:r>
          </w:p>
        </w:tc>
        <w:tc>
          <w:tcPr>
            <w:tcW w:w="575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показателя</w:t>
            </w:r>
          </w:p>
        </w:tc>
        <w:tc>
          <w:tcPr>
            <w:tcW w:w="317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Величина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</w:t>
            </w:r>
          </w:p>
        </w:tc>
        <w:tc>
          <w:tcPr>
            <w:tcW w:w="575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соответствии с частью 3 статьи 46 Федерального закона от 31 июля 2020 г</w:t>
            </w:r>
            <w:r>
              <w:rPr>
                <w:sz w:val="24"/>
                <w:szCs w:val="24"/>
              </w:rPr>
              <w:t xml:space="preserve">ода</w:t>
            </w:r>
            <w:r>
              <w:rPr>
                <w:sz w:val="24"/>
                <w:szCs w:val="24"/>
              </w:rPr>
              <w:t xml:space="preserve"> № 248-ФЗ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«О государственном контроле (надзоре)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муниципальном контроле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в Российской Федерации»</w:t>
            </w:r>
          </w:p>
        </w:tc>
        <w:tc>
          <w:tcPr>
            <w:tcW w:w="317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</w:t>
            </w:r>
          </w:p>
        </w:tc>
        <w:tc>
          <w:tcPr>
            <w:tcW w:w="575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Удовлетворенность контролируемых лиц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их представителями консультированием контрольного органа</w:t>
            </w:r>
          </w:p>
        </w:tc>
        <w:tc>
          <w:tcPr>
            <w:tcW w:w="317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от числа </w:t>
            </w:r>
            <w:r>
              <w:rPr>
                <w:sz w:val="24"/>
                <w:szCs w:val="24"/>
              </w:rPr>
              <w:t xml:space="preserve">обратившихся</w:t>
            </w:r>
          </w:p>
        </w:tc>
      </w:tr>
      <w:tr>
        <w:tc>
          <w:tcPr>
            <w:tcW w:w="817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</w:p>
        </w:tc>
        <w:tc>
          <w:tcPr>
            <w:tcW w:w="5752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</w:t>
            </w:r>
            <w:r>
              <w:rPr>
                <w:sz w:val="24"/>
                <w:szCs w:val="24"/>
              </w:rPr>
              <w:t xml:space="preserve">ичество проведенных профилактических мероприятий</w:t>
            </w:r>
          </w:p>
        </w:tc>
        <w:tc>
          <w:tcPr>
            <w:tcW w:w="3178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20% и более</w:t>
            </w:r>
          </w:p>
        </w:tc>
      </w:tr>
    </w:tbl>
    <w:p>
      <w:pPr>
        <w:ind w:firstLine="567"/>
        <w:jc w:val="center"/>
      </w:pPr>
    </w:p>
    <w:sectPr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Arial">
    <w:panose1 w:val="020B0604020202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31479052"/>
      <w:docPartObj>
        <w:docPartGallery w:val="Page Numbers (Top of Page)"/>
        <w:docPartUnique w:val="true"/>
      </w:docPartObj>
    </w:sdtPr>
    <w:sdtContent>
      <w:p>
        <w:pPr>
          <w:pStyle w:val="aa"/>
          <w:jc w:val="center"/>
        </w:pPr>
        <w:fldSimple w:instr=" PAGE   \* MERGEFORMAT ">
          <w:r>
            <w:t xml:space="preserve">6</w:t>
          </w:r>
        </w:fldSimple>
      </w:p>
    </w:sdtContent>
  </w:sdt>
  <w:p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980" w:hanging="360"/>
      </w:pPr>
    </w:lvl>
    <w:lvl w:ilvl="2" w:tentative="1" w:tplc="0419001B">
      <w:start w:val="1"/>
      <w:numFmt w:val="lowerRoman"/>
      <w:lvlText w:val="%3."/>
      <w:lvlJc w:val="right"/>
      <w:pPr>
        <w:ind w:left="2700" w:hanging="180"/>
      </w:pPr>
    </w:lvl>
    <w:lvl w:ilvl="3" w:tentative="1" w:tplc="0419000F">
      <w:start w:val="1"/>
      <w:numFmt w:val="decimal"/>
      <w:lvlText w:val="%4."/>
      <w:lvlJc w:val="left"/>
      <w:pPr>
        <w:ind w:left="3420" w:hanging="360"/>
      </w:pPr>
    </w:lvl>
    <w:lvl w:ilvl="4" w:tentative="1" w:tplc="04190019">
      <w:start w:val="1"/>
      <w:numFmt w:val="lowerLetter"/>
      <w:lvlText w:val="%5."/>
      <w:lvlJc w:val="left"/>
      <w:pPr>
        <w:ind w:left="4140" w:hanging="360"/>
      </w:pPr>
    </w:lvl>
    <w:lvl w:ilvl="5" w:tentative="1" w:tplc="0419001B">
      <w:start w:val="1"/>
      <w:numFmt w:val="lowerRoman"/>
      <w:lvlText w:val="%6."/>
      <w:lvlJc w:val="right"/>
      <w:pPr>
        <w:ind w:left="4860" w:hanging="180"/>
      </w:pPr>
    </w:lvl>
    <w:lvl w:ilvl="6" w:tentative="1" w:tplc="0419000F">
      <w:start w:val="1"/>
      <w:numFmt w:val="decimal"/>
      <w:lvlText w:val="%7."/>
      <w:lvlJc w:val="left"/>
      <w:pPr>
        <w:ind w:left="5580" w:hanging="360"/>
      </w:pPr>
    </w:lvl>
    <w:lvl w:ilvl="7" w:tentative="1" w:tplc="04190019">
      <w:start w:val="1"/>
      <w:numFmt w:val="lowerLetter"/>
      <w:lvlText w:val="%8."/>
      <w:lvlJc w:val="left"/>
      <w:pPr>
        <w:ind w:left="6300" w:hanging="360"/>
      </w:pPr>
    </w:lvl>
    <w:lvl w:ilvl="8" w:tentative="1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multiLevelType w:val="hybridMultilevel"/>
    <w:lvl w:ilvl="0" w:tplc="A26CA54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entative="1" w:tplc="04190019">
      <w:start w:val="1"/>
      <w:numFmt w:val="lowerLetter"/>
      <w:lvlText w:val="%2."/>
      <w:lvlJc w:val="left"/>
      <w:pPr>
        <w:ind w:left="1647" w:hanging="360"/>
      </w:pPr>
    </w:lvl>
    <w:lvl w:ilvl="2" w:tentative="1" w:tplc="0419001B">
      <w:start w:val="1"/>
      <w:numFmt w:val="lowerRoman"/>
      <w:lvlText w:val="%3."/>
      <w:lvlJc w:val="right"/>
      <w:pPr>
        <w:ind w:left="2367" w:hanging="180"/>
      </w:pPr>
    </w:lvl>
    <w:lvl w:ilvl="3" w:tentative="1" w:tplc="0419000F">
      <w:start w:val="1"/>
      <w:numFmt w:val="decimal"/>
      <w:lvlText w:val="%4."/>
      <w:lvlJc w:val="left"/>
      <w:pPr>
        <w:ind w:left="3087" w:hanging="360"/>
      </w:pPr>
    </w:lvl>
    <w:lvl w:ilvl="4" w:tentative="1" w:tplc="04190019">
      <w:start w:val="1"/>
      <w:numFmt w:val="lowerLetter"/>
      <w:lvlText w:val="%5."/>
      <w:lvlJc w:val="left"/>
      <w:pPr>
        <w:ind w:left="3807" w:hanging="360"/>
      </w:pPr>
    </w:lvl>
    <w:lvl w:ilvl="5" w:tentative="1" w:tplc="0419001B">
      <w:start w:val="1"/>
      <w:numFmt w:val="lowerRoman"/>
      <w:lvlText w:val="%6."/>
      <w:lvlJc w:val="right"/>
      <w:pPr>
        <w:ind w:left="4527" w:hanging="180"/>
      </w:pPr>
    </w:lvl>
    <w:lvl w:ilvl="6" w:tentative="1" w:tplc="0419000F">
      <w:start w:val="1"/>
      <w:numFmt w:val="decimal"/>
      <w:lvlText w:val="%7."/>
      <w:lvlJc w:val="left"/>
      <w:pPr>
        <w:ind w:left="5247" w:hanging="360"/>
      </w:pPr>
    </w:lvl>
    <w:lvl w:ilvl="7" w:tentative="1" w:tplc="04190019">
      <w:start w:val="1"/>
      <w:numFmt w:val="lowerLetter"/>
      <w:lvlText w:val="%8."/>
      <w:lvlJc w:val="left"/>
      <w:pPr>
        <w:ind w:left="5967" w:hanging="360"/>
      </w:pPr>
    </w:lvl>
    <w:lvl w:ilvl="8" w:tentative="1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 w:tplc="6C8809C6">
      <w:start w:val="1"/>
      <w:numFmt w:val="decimal"/>
      <w:lvlText w:val="%1."/>
      <w:lvlJc w:val="left"/>
      <w:pPr>
        <w:ind w:left="1069" w:hanging="360"/>
      </w:pPr>
      <w:rPr>
        <w:rFonts w:hint="default"/>
        <w:b w:val="false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873" w:hanging="360"/>
      </w:pPr>
    </w:lvl>
    <w:lvl w:ilvl="2" w:tentative="1" w:tplc="0419001B">
      <w:start w:val="1"/>
      <w:numFmt w:val="lowerRoman"/>
      <w:lvlText w:val="%3."/>
      <w:lvlJc w:val="right"/>
      <w:pPr>
        <w:ind w:left="1593" w:hanging="180"/>
      </w:pPr>
    </w:lvl>
    <w:lvl w:ilvl="3" w:tentative="1" w:tplc="0419000F">
      <w:start w:val="1"/>
      <w:numFmt w:val="decimal"/>
      <w:lvlText w:val="%4."/>
      <w:lvlJc w:val="left"/>
      <w:pPr>
        <w:ind w:left="2313" w:hanging="360"/>
      </w:pPr>
    </w:lvl>
    <w:lvl w:ilvl="4" w:tentative="1" w:tplc="04190019">
      <w:start w:val="1"/>
      <w:numFmt w:val="lowerLetter"/>
      <w:lvlText w:val="%5."/>
      <w:lvlJc w:val="left"/>
      <w:pPr>
        <w:ind w:left="3033" w:hanging="360"/>
      </w:pPr>
    </w:lvl>
    <w:lvl w:ilvl="5" w:tentative="1" w:tplc="0419001B">
      <w:start w:val="1"/>
      <w:numFmt w:val="lowerRoman"/>
      <w:lvlText w:val="%6."/>
      <w:lvlJc w:val="right"/>
      <w:pPr>
        <w:ind w:left="3753" w:hanging="180"/>
      </w:pPr>
    </w:lvl>
    <w:lvl w:ilvl="6" w:tentative="1" w:tplc="0419000F">
      <w:start w:val="1"/>
      <w:numFmt w:val="decimal"/>
      <w:lvlText w:val="%7."/>
      <w:lvlJc w:val="left"/>
      <w:pPr>
        <w:ind w:left="4473" w:hanging="360"/>
      </w:pPr>
    </w:lvl>
    <w:lvl w:ilvl="7" w:tentative="1" w:tplc="04190019">
      <w:start w:val="1"/>
      <w:numFmt w:val="lowerLetter"/>
      <w:lvlText w:val="%8."/>
      <w:lvlJc w:val="left"/>
      <w:pPr>
        <w:ind w:left="5193" w:hanging="360"/>
      </w:pPr>
    </w:lvl>
    <w:lvl w:ilvl="8" w:tentative="1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multiLevelType w:val="hybridMultilevel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5" w:hanging="360"/>
      </w:pPr>
    </w:lvl>
    <w:lvl w:ilvl="2" w:tentative="1" w:tplc="0419001B">
      <w:start w:val="1"/>
      <w:numFmt w:val="lowerRoman"/>
      <w:lvlText w:val="%3."/>
      <w:lvlJc w:val="right"/>
      <w:pPr>
        <w:ind w:left="2505" w:hanging="180"/>
      </w:pPr>
    </w:lvl>
    <w:lvl w:ilvl="3" w:tentative="1" w:tplc="0419000F">
      <w:start w:val="1"/>
      <w:numFmt w:val="decimal"/>
      <w:lvlText w:val="%4."/>
      <w:lvlJc w:val="left"/>
      <w:pPr>
        <w:ind w:left="3225" w:hanging="360"/>
      </w:pPr>
    </w:lvl>
    <w:lvl w:ilvl="4" w:tentative="1" w:tplc="04190019">
      <w:start w:val="1"/>
      <w:numFmt w:val="lowerLetter"/>
      <w:lvlText w:val="%5."/>
      <w:lvlJc w:val="left"/>
      <w:pPr>
        <w:ind w:left="3945" w:hanging="360"/>
      </w:pPr>
    </w:lvl>
    <w:lvl w:ilvl="5" w:tentative="1" w:tplc="0419001B">
      <w:start w:val="1"/>
      <w:numFmt w:val="lowerRoman"/>
      <w:lvlText w:val="%6."/>
      <w:lvlJc w:val="right"/>
      <w:pPr>
        <w:ind w:left="4665" w:hanging="180"/>
      </w:pPr>
    </w:lvl>
    <w:lvl w:ilvl="6" w:tentative="1" w:tplc="0419000F">
      <w:start w:val="1"/>
      <w:numFmt w:val="decimal"/>
      <w:lvlText w:val="%7."/>
      <w:lvlJc w:val="left"/>
      <w:pPr>
        <w:ind w:left="5385" w:hanging="360"/>
      </w:pPr>
    </w:lvl>
    <w:lvl w:ilvl="7" w:tentative="1" w:tplc="04190019">
      <w:start w:val="1"/>
      <w:numFmt w:val="lowerLetter"/>
      <w:lvlText w:val="%8."/>
      <w:lvlJc w:val="left"/>
      <w:pPr>
        <w:ind w:left="6105" w:hanging="360"/>
      </w:pPr>
    </w:lvl>
    <w:lvl w:ilvl="8" w:tentative="1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footnotePr>
    <w:footnote w:id="-1"/>
    <w:footnote w:id="0"/>
  </w:footnotePr>
  <w:endnotePr>
    <w:endnote w:id="-1"/>
    <w:endnote w:id="0"/>
  </w:endnotePr>
  <w:compat/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lang w:val="ru-RU" w:bidi="ar-SA" w:eastAsia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ascii="Times New Roman" w:hAnsi="Times New Roman" w:cs="Times New Roman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Body Text"/>
    <w:basedOn w:val="a"/>
    <w:link w:val="a4"/>
    <w:rPr>
      <w:sz w:val="20"/>
      <w:szCs w:val="20"/>
    </w:rPr>
    <w:pPr>
      <w:spacing w:after="120"/>
    </w:pPr>
  </w:style>
  <w:style w:type="character" w:styleId="a4" w:customStyle="1">
    <w:name w:val="Основной текст Знак"/>
    <w:basedOn w:val="a0"/>
    <w:link w:val="a3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Pr>
      <w:sz w:val="20"/>
      <w:szCs w:val="20"/>
    </w:rPr>
    <w:pPr>
      <w:ind w:left="283"/>
      <w:spacing w:lineRule="auto" w:line="480" w:after="120"/>
    </w:pPr>
  </w:style>
  <w:style w:type="character" w:styleId="20" w:customStyle="1">
    <w:name w:val="Основной текст с отступом 2 Знак"/>
    <w:basedOn w:val="a0"/>
    <w:link w:val="2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ConsPlusNormal" w:customStyle="1">
    <w:name w:val="ConsPlusNormal"/>
    <w:link w:val="ConsPlusNormal0"/>
    <w:rPr>
      <w:rFonts w:ascii="Arial" w:hAnsi="Arial" w:cs="Arial"/>
    </w:rPr>
    <w:pPr>
      <w:jc w:val="both"/>
      <w:widowControl w:val="off"/>
    </w:pPr>
  </w:style>
  <w:style w:type="paragraph" w:styleId="a7">
    <w:name w:val="List Paragraph"/>
    <w:basedOn w:val="a"/>
    <w:qFormat/>
    <w:uiPriority w:val="34"/>
    <w:pPr>
      <w:contextualSpacing w:val="true"/>
      <w:ind w:left="720"/>
    </w:pPr>
  </w:style>
  <w:style w:type="paragraph" w:styleId="a8">
    <w:name w:val="Normal (Web)"/>
    <w:basedOn w:val="a"/>
    <w:uiPriority w:val="99"/>
    <w:unhideWhenUsed/>
    <w:pPr>
      <w:spacing w:after="100" w:afterAutospacing="1" w:before="100" w:beforeAutospacing="1"/>
    </w:pPr>
  </w:style>
  <w:style w:type="paragraph" w:styleId="paragraph" w:customStyle="1">
    <w:name w:val="paragraph"/>
    <w:basedOn w:val="a"/>
    <w:pPr>
      <w:spacing w:after="100" w:afterAutospacing="1" w:before="100" w:beforeAutospacing="1"/>
    </w:pPr>
  </w:style>
  <w:style w:type="character" w:styleId="normaltextrun" w:customStyle="1">
    <w:name w:val="normaltextrun"/>
    <w:basedOn w:val="a0"/>
  </w:style>
  <w:style w:type="character" w:styleId="scxw111914594" w:customStyle="1">
    <w:name w:val="scxw111914594"/>
    <w:basedOn w:val="a0"/>
  </w:style>
  <w:style w:type="character" w:styleId="eop" w:customStyle="1">
    <w:name w:val="eop"/>
    <w:basedOn w:val="a0"/>
  </w:style>
  <w:style w:type="character" w:styleId="tabchar" w:customStyle="1">
    <w:name w:val="tabchar"/>
    <w:basedOn w:val="a0"/>
  </w:style>
  <w:style w:type="character" w:styleId="spellingerror" w:customStyle="1">
    <w:name w:val="spellingerror"/>
    <w:basedOn w:val="a0"/>
  </w:style>
  <w:style w:type="character" w:styleId="21" w:customStyle="1">
    <w:name w:val="Основной текст (2)_"/>
    <w:basedOn w:val="a0"/>
    <w:link w:val="22"/>
    <w:locked/>
    <w:uiPriority w:val="99"/>
    <w:rPr>
      <w:rFonts w:ascii="Times New Roman" w:hAnsi="Times New Roman" w:cs="Times New Roman"/>
      <w:b/>
      <w:bCs/>
      <w:sz w:val="25"/>
      <w:szCs w:val="25"/>
      <w:shd w:val="clear" w:fill="FFFFFF" w:color="FFFFFF"/>
    </w:rPr>
  </w:style>
  <w:style w:type="paragraph" w:styleId="22" w:customStyle="1">
    <w:name w:val="Основной текст (2)"/>
    <w:basedOn w:val="a"/>
    <w:link w:val="21"/>
    <w:uiPriority w:val="99"/>
    <w:rPr>
      <w:b/>
      <w:bCs/>
      <w:sz w:val="25"/>
      <w:szCs w:val="25"/>
    </w:rPr>
    <w:pPr>
      <w:jc w:val="center"/>
      <w:spacing w:lineRule="atLeast" w:line="240" w:after="360" w:before="240"/>
      <w:shd w:val="clear" w:fill="FFFFFF" w:color="FFFFFF"/>
    </w:pPr>
  </w:style>
  <w:style w:type="table" w:styleId="a9">
    <w:name w:val="Table Grid"/>
    <w:basedOn w:val="a1"/>
    <w:rPr>
      <w:rFonts w:ascii="Times New Roman" w:hAnsi="Times New Roman" w:cs="Times New Roman" w:eastAsia="Calibri"/>
      <w:sz w:val="22"/>
      <w:szCs w:val="22"/>
    </w:rPr>
    <w:tblPr>
      <w:tblInd w:w="0" w:type="dxa"/>
      <w:tblBorders>
        <w:left w:val="single" w:sz="4" w:space="0" w:color="auto"/>
        <w:top w:val="single" w:sz="4" w:space="0" w:color="auto"/>
        <w:right w:val="single" w:sz="4" w:space="0" w:color="auto"/>
        <w:bottom w:val="single" w:sz="4" w:space="0" w:color="auto"/>
        <w:insideV w:val="single" w:sz="4" w:space="0" w:color="auto"/>
        <w:insideH w:val="single" w:sz="4" w:space="0" w:color="auto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styleId="ab" w:customStyle="1">
    <w:name w:val="Верхний колонтитул Знак"/>
    <w:basedOn w:val="a0"/>
    <w:link w:val="aa"/>
    <w:uiPriority w:val="99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styleId="ad" w:customStyle="1">
    <w:name w:val="Нижний колонтитул Знак"/>
    <w:basedOn w:val="a0"/>
    <w:link w:val="ac"/>
    <w:uiPriority w:val="99"/>
    <w:semiHidden/>
    <w:rPr>
      <w:rFonts w:ascii="Times New Roman" w:hAnsi="Times New Roman" w:cs="Times New Roman"/>
      <w:sz w:val="24"/>
      <w:szCs w:val="24"/>
    </w:rPr>
  </w:style>
  <w:style w:type="paragraph" w:styleId="5373" w:customStyle="1">
    <w:aliases w:val="bqiaagaaeyqcaaagiaiaaam7eaaabuuuaaaaaaaaaaaaaaaaaaaaaaaaaaaaaaaaaaaaaaaaaaaaaaaaaaaaaaaaaaaaaaaaaaaaaaaaaaaaaaaaaaaaaaaaaaaaaaaaaaaaaaaaaaaaaaaaaaaaaaaaaaaaaaaaaaaaaaaaaaaaaaaaaaaaaaaaaaaaaaaaaaaaaaaaaaaaaaaaaaaaaaaaaaaaaaaaaaaaaaaa"/>
    <w:name w:val="5373"/>
    <w:basedOn w:val="a"/>
    <w:pPr>
      <w:spacing w:after="100" w:afterAutospacing="1" w:before="100" w:beforeAutospacing="1"/>
    </w:pPr>
  </w:style>
  <w:style w:type="paragraph" w:styleId="1" w:customStyle="1">
    <w:name w:val="Абзац списка1"/>
    <w:basedOn w:val="a"/>
    <w:rPr>
      <w:rFonts w:eastAsia="Calibri"/>
    </w:rPr>
    <w:pPr>
      <w:contextualSpacing w:val="true"/>
      <w:ind w:left="720"/>
    </w:pPr>
  </w:style>
  <w:style w:type="character" w:styleId="ae">
    <w:name w:val="Hyperlink"/>
    <w:uiPriority w:val="99"/>
    <w:rPr>
      <w:color w:val="0000FF"/>
      <w:u w:val="single"/>
    </w:rPr>
  </w:style>
  <w:style w:type="character" w:styleId="ConsPlusNormal0" w:customStyle="1">
    <w:name w:val="ConsPlusNormal Знак"/>
    <w:link w:val="ConsPlusNormal"/>
    <w:rPr>
      <w:rFonts w:ascii="Arial" w:hAnsi="Arial" w:cs="Arial"/>
    </w:rPr>
  </w:style>
  <w:style w:type="character" w:styleId="af">
    <w:name w:val="Emphasis"/>
    <w:qFormat/>
    <w:uiPriority w:val="20"/>
    <w:rPr>
      <w:i/>
      <w:iCs/>
    </w:rPr>
  </w:style>
  <w:style w:type="character" w:styleId="ConsPlusNormal1" w:customStyle="1">
    <w:name w:val="ConsPlusNormal1"/>
    <w:locked/>
    <w:rPr>
      <w:rFonts w:ascii="Arial" w:hAnsi="Arial" w:cs="Arial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haracters>10148</Characters>
  <CharactersWithSpaces>11905</CharactersWithSpaces>
  <Company/>
  <DocSecurity>0</DocSecurity>
  <HyperlinksChanged>false</HyperlinksChanged>
  <Lines>84</Lines>
  <LinksUpToDate>false</LinksUpToDate>
  <Pages>6</Pages>
  <Paragraphs>23</Paragraphs>
  <ScaleCrop>false</ScaleCrop>
  <SharedDoc>false</SharedDoc>
  <Template>Normal</Template>
  <TotalTime>31</TotalTime>
  <Words>1780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</cp:revision>
  <cp:lastPrinted>2023-01-11T06:41:00Z</cp:lastPrinted>
  <dcterms:created xsi:type="dcterms:W3CDTF">2023-01-12T13:01:00Z</dcterms:created>
  <dcterms:modified xsi:type="dcterms:W3CDTF">2023-01-12T13:34:00Z</dcterms:modified>
</cp:coreProperties>
</file>