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jc w:val="center"/>
              <w:rPr>
                <w:b/>
                <w:sz w:val="26"/>
                <w:szCs w:val="26"/>
              </w:rPr>
              <w:outlineLvl w:val="0"/>
            </w:pPr>
            <w:r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жилищного контроля на территории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 xml:space="preserve">Грайворонского городского округа на 2023 год </w:t>
            </w:r>
          </w:p>
        </w:tc>
      </w:tr>
    </w:tbl>
    <w:p>
      <w:pPr>
        <w:pStyle w:val="1"/>
        <w:ind w:left="0" w:firstLine="720"/>
        <w:jc w:val="both"/>
        <w:rPr>
          <w:b/>
          <w:sz w:val="26"/>
          <w:szCs w:val="26"/>
        </w:rPr>
      </w:pPr>
    </w:p>
    <w:p>
      <w:pPr>
        <w:ind w:firstLine="709"/>
        <w:jc w:val="both"/>
        <w:shd w:val="clear" w:fill="FFFFFF" w:color="FFFFFF"/>
        <w:tabs>
          <w:tab w:val="left" w:pos="113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25 июня 2021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fill="FFFFFF" w:color="FFFFFF"/>
        </w:rPr>
        <w:t xml:space="preserve">года № </w:t>
      </w:r>
      <w:r>
        <w:rPr>
          <w:rStyle w:val="af"/>
          <w:i w:val="false"/>
          <w:iCs w:val="false"/>
          <w:sz w:val="26"/>
          <w:szCs w:val="26"/>
          <w:shd w:val="clear" w:fill="FFFFFF" w:color="FFFFFF"/>
        </w:rPr>
        <w:t xml:space="preserve">990 «</w:t>
      </w:r>
      <w:r>
        <w:rPr>
          <w:sz w:val="26"/>
          <w:szCs w:val="26"/>
          <w:shd w:val="clear" w:fill="FFFFFF" w:color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fill="FFFFFF" w:color="FFFFFF"/>
        </w:rPr>
        <w:t xml:space="preserve">»</w:t>
      </w:r>
      <w:r>
        <w:rPr>
          <w:sz w:val="26"/>
          <w:szCs w:val="26"/>
        </w:rPr>
        <w:t xml:space="preserve">, решением Совета депутатов Грайворонского городского округа от 30 июля</w:t>
      </w:r>
      <w:r>
        <w:rPr>
          <w:sz w:val="26"/>
          <w:szCs w:val="26"/>
        </w:rPr>
        <w:t xml:space="preserve"> 2021 года №434 «</w:t>
      </w:r>
      <w:r>
        <w:rPr>
          <w:color w:val="000000"/>
          <w:sz w:val="26"/>
          <w:szCs w:val="26"/>
        </w:rPr>
        <w:t xml:space="preserve">Об утверждении Положения о муниципальном жилищном контроле на территории Грайворонского городского округа</w:t>
      </w:r>
      <w:r>
        <w:rPr>
          <w:sz w:val="26"/>
          <w:szCs w:val="26"/>
        </w:rPr>
        <w:t xml:space="preserve">»,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 на 2023 год</w:t>
      </w:r>
      <w:r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 xml:space="preserve">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по строительству, транспорту, ЖКХ и ТЭК администрации Грайворонского г</w:t>
      </w:r>
      <w:r>
        <w:rPr>
          <w:sz w:val="26"/>
          <w:szCs w:val="26"/>
        </w:rPr>
        <w:t xml:space="preserve">ородского округа (</w:t>
      </w:r>
      <w:r>
        <w:rPr>
          <w:sz w:val="26"/>
          <w:szCs w:val="26"/>
        </w:rPr>
        <w:t xml:space="preserve">Твердун</w:t>
      </w:r>
      <w:r>
        <w:rPr>
          <w:sz w:val="26"/>
          <w:szCs w:val="26"/>
        </w:rPr>
        <w:t xml:space="preserve"> Р.Г.)</w:t>
      </w:r>
      <w:r>
        <w:rPr>
          <w:sz w:val="26"/>
          <w:szCs w:val="26"/>
        </w:rPr>
        <w:t xml:space="preserve"> обеспечить выполнение Программы </w:t>
      </w:r>
      <w:r>
        <w:rPr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 на 2023 год</w:t>
      </w:r>
      <w:r>
        <w:rPr>
          <w:sz w:val="26"/>
          <w:szCs w:val="26"/>
        </w:rPr>
        <w:t xml:space="preserve">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округа – начальника управления по строител</w:t>
      </w:r>
      <w:r>
        <w:rPr>
          <w:sz w:val="26"/>
          <w:szCs w:val="26"/>
        </w:rPr>
        <w:t xml:space="preserve">ьству, транспорту, ЖКХ и ТЭК Р.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Твердуна</w:t>
      </w:r>
      <w:r>
        <w:rPr>
          <w:sz w:val="26"/>
          <w:szCs w:val="26"/>
        </w:rPr>
        <w:t xml:space="preserve">.</w:t>
      </w:r>
    </w:p>
    <w:p>
      <w:pPr>
        <w:ind w:firstLine="720"/>
        <w:jc w:val="both"/>
        <w:rPr>
          <w:sz w:val="26"/>
          <w:szCs w:val="26"/>
        </w:rPr>
      </w:pPr>
    </w:p>
    <w:p>
      <w:pPr>
        <w:ind w:firstLine="720"/>
        <w:jc w:val="both"/>
        <w:rPr>
          <w:sz w:val="26"/>
          <w:szCs w:val="26"/>
        </w:rPr>
      </w:pPr>
    </w:p>
    <w:p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p>
      <w:pPr>
        <w:ind w:left="5940"/>
        <w:jc w:val="right"/>
      </w:pPr>
      <w:bookmarkStart w:id="0" w:name="_GoBack"/>
      <w:bookmarkEnd w:id="0"/>
    </w:p>
    <w:p>
      <w:pPr>
        <w:ind w:left="5940"/>
        <w:jc w:val="right"/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4788"/>
        <w:gridCol w:w="5145"/>
      </w:tblGrid>
      <w:tr>
        <w:tc>
          <w:tcPr>
            <w:tcW w:w="4788" w:type="dxa"/>
          </w:tcPr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4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</w:t>
            </w:r>
            <w:r>
              <w:rPr>
                <w:b/>
                <w:sz w:val="28"/>
                <w:szCs w:val="28"/>
              </w:rPr>
              <w:t xml:space="preserve">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«___»____________ 20</w:t>
            </w:r>
            <w:r>
              <w:rPr>
                <w:b/>
                <w:sz w:val="28"/>
                <w:szCs w:val="28"/>
              </w:rPr>
              <w:t xml:space="preserve">__</w:t>
            </w:r>
            <w:r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ода</w:t>
            </w:r>
            <w:r>
              <w:rPr>
                <w:b/>
                <w:sz w:val="28"/>
                <w:szCs w:val="28"/>
              </w:rPr>
              <w:t xml:space="preserve"> №____</w:t>
            </w:r>
          </w:p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>
      <w:pPr>
        <w:ind w:left="5940"/>
        <w:jc w:val="right"/>
      </w:pPr>
    </w:p>
    <w:p>
      <w:pPr>
        <w:ind w:left="5940"/>
        <w:jc w:val="right"/>
      </w:pP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территории Грайворонского городского округа на 2023 год</w:t>
      </w:r>
    </w:p>
    <w:p>
      <w:pPr>
        <w:jc w:val="center"/>
        <w:rPr>
          <w:sz w:val="26"/>
          <w:szCs w:val="26"/>
        </w:rPr>
        <w:outlineLvl w:val="0"/>
      </w:pPr>
    </w:p>
    <w:p>
      <w:pPr>
        <w:jc w:val="center"/>
        <w:rPr>
          <w:b/>
          <w:sz w:val="28"/>
          <w:szCs w:val="28"/>
        </w:rPr>
        <w:outlineLvl w:val="0"/>
      </w:pPr>
    </w:p>
    <w:p>
      <w:pPr>
        <w:numPr>
          <w:numId w:val="6"/>
          <w:ilvl w:val="0"/>
        </w:numPr>
        <w:ind w:left="0" w:firstLine="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Анализ текущего состояния осуществления муниципального жилищного </w:t>
      </w:r>
      <w:r>
        <w:rPr>
          <w:b/>
          <w:sz w:val="28"/>
          <w:szCs w:val="28"/>
        </w:rPr>
        <w:t xml:space="preserve">контроля,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ind w:firstLine="567"/>
        <w:jc w:val="both"/>
        <w:outlineLvl w:val="0"/>
      </w:pPr>
    </w:p>
    <w:p>
      <w:pPr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 xml:space="preserve"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Грайворонского городского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Грайворонского городского округа (далее – контр</w:t>
      </w:r>
      <w:r>
        <w:rPr>
          <w:sz w:val="28"/>
          <w:szCs w:val="28"/>
        </w:rPr>
        <w:t xml:space="preserve">ольный орган) в соответствии с </w:t>
      </w:r>
      <w:r>
        <w:rPr>
          <w:sz w:val="28"/>
          <w:szCs w:val="28"/>
        </w:rPr>
        <w:t xml:space="preserve">Положением о муниципальном жилищном контроле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Г</w:t>
      </w:r>
      <w:r>
        <w:rPr>
          <w:sz w:val="28"/>
          <w:szCs w:val="28"/>
        </w:rPr>
        <w:t xml:space="preserve">райворонского городского округа</w:t>
      </w:r>
      <w:r>
        <w:rPr>
          <w:sz w:val="28"/>
          <w:szCs w:val="28"/>
        </w:rPr>
        <w:t xml:space="preserve"> (далее - Положение), утвержденным решением Совета депутатов Грайворонского городского округа от 30 июля 2021 года №434, осуществляет муниципальный жилищный контроль.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обязательных требований, в отношении муниципального жилищного фонда</w:t>
      </w:r>
      <w:r>
        <w:rPr>
          <w:color w:val="000000"/>
          <w:sz w:val="28"/>
          <w:szCs w:val="28"/>
        </w:rPr>
        <w:t xml:space="preserve">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использованию и сохранности жилищного фонда,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том числе требований к жилым помещениям, их использованию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содержанию,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использованию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имущества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собственников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помещений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многоквартирных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домах,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</w:t>
      </w:r>
      <w:r>
        <w:rPr>
          <w:color w:val="000000"/>
          <w:sz w:val="28"/>
          <w:szCs w:val="28"/>
        </w:rPr>
        <w:t xml:space="preserve">перевода жилого помещения в нежилое помещение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нежилого помещения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жилое в многоквартирном доме, порядку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осуществления перепланировки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(или) переустройства помещений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многоквартирном доме;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формированию фондов капитального ремонта;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созданию и деятельности юридических лиц,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индивидуальных предпринимателей, осуществляющих </w:t>
      </w:r>
      <w:r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 xml:space="preserve">многоквартирными домами, оказывающих услуги и (или) выполняющих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работы по содержанию и ремонту общего имущества в многоквартирных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домах;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предоставлению коммунальных услуг собственникам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пользователям помещений в многоквартирных домах и жилых домов;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правил изменения размера платы за содержание жилого помещения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оказан</w:t>
      </w:r>
      <w:r>
        <w:rPr>
          <w:color w:val="000000"/>
          <w:sz w:val="28"/>
          <w:szCs w:val="28"/>
        </w:rPr>
        <w:t xml:space="preserve">ия услуг и выполнения работ по управлению</w:t>
      </w:r>
      <w:r>
        <w:rPr>
          <w:color w:val="000000"/>
          <w:sz w:val="28"/>
          <w:szCs w:val="28"/>
        </w:rPr>
        <w:t xml:space="preserve">, содержанию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ремонту общего имущества в многоквартирном доме ненадлежащего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качества и (или) с перерывами, превышающими установленную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продолжительность;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правил содержания общего имущества в многоквартирном доме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изменения размера платы за содержание жилого помещения;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правил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предоставления коммунальных услуг собственникам и пользователям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помещений в многоквартирных домах и жилых домов;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энергетической эффективности и оснащенности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помещений многоквартирных домов и жилых домов приборами учета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используемых энергетических ресурсов;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порядку размещения </w:t>
      </w:r>
      <w:r>
        <w:rPr>
          <w:color w:val="000000"/>
          <w:sz w:val="28"/>
          <w:szCs w:val="28"/>
        </w:rPr>
        <w:t xml:space="preserve">ресурсоснабжающими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организациями, лицами, осуществляющими деятельность по </w:t>
      </w:r>
      <w:r>
        <w:rPr>
          <w:color w:val="000000"/>
          <w:sz w:val="28"/>
          <w:szCs w:val="28"/>
        </w:rPr>
        <w:t xml:space="preserve">управлению </w:t>
      </w:r>
      <w:r>
        <w:rPr>
          <w:color w:val="000000"/>
          <w:sz w:val="28"/>
          <w:szCs w:val="28"/>
        </w:rPr>
        <w:t xml:space="preserve">многоквартирными домами, информации в системе;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обеспечению доступности для инвалидов помещений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многоквартирных домах;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требований к предоставлению жилых помещений в наемных домах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социального использования.</w:t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органом за 2022 год проведено 8 проверок соблюдения действующего законодательства Российской Федерации в указанной сфере.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 органом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году осуществл</w:t>
      </w:r>
      <w:r>
        <w:rPr>
          <w:sz w:val="28"/>
          <w:szCs w:val="28"/>
        </w:rPr>
        <w:t xml:space="preserve">ялись</w:t>
      </w:r>
      <w:r>
        <w:rPr>
          <w:sz w:val="28"/>
          <w:szCs w:val="28"/>
        </w:rPr>
        <w:t xml:space="preserve"> следующие мероприятия: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администрации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rPr>
          <w:sz w:val="28"/>
          <w:szCs w:val="28"/>
        </w:rPr>
        <w:t xml:space="preserve">жилищного</w:t>
      </w:r>
      <w:r>
        <w:rPr>
          <w:sz w:val="28"/>
          <w:szCs w:val="28"/>
        </w:rPr>
        <w:t xml:space="preserve"> контроля, а также текстов соответствующих нормативных правовых актов;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</w:t>
      </w:r>
      <w:r>
        <w:rPr>
          <w:sz w:val="28"/>
          <w:szCs w:val="28"/>
        </w:rPr>
        <w:t xml:space="preserve">по соблюдению обязательных требований, разъяснительной работы в средствах массовой информации; </w:t>
      </w:r>
    </w:p>
    <w:p>
      <w:pPr>
        <w:ind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 2022 год администрацией выдано 8 предписаний о недопустимости нарушения обязательных требований.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проблемами, на решение которых направлена Программа,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являются: недостаточная информированность контролируемых лиц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об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обязательных требованиях и способах их исполнения, а также низкая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мотивация добросовестного соблюдения обязательных требований данными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лицами.</w:t>
      </w:r>
    </w:p>
    <w:p>
      <w:pPr>
        <w:ind w:firstLine="567"/>
        <w:jc w:val="both"/>
      </w:pP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2. Цели и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задачи реализации Программы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Целями профилактической работы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соблюдения;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нарушений</w:t>
      </w:r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административной нагрузки на контролируемых лиц;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размера ущерба, причиняемо</w:t>
      </w:r>
      <w:r>
        <w:rPr>
          <w:sz w:val="28"/>
          <w:szCs w:val="28"/>
        </w:rPr>
        <w:t xml:space="preserve">го охраняемым законом ценностям</w:t>
      </w:r>
      <w:r>
        <w:rPr>
          <w:sz w:val="28"/>
          <w:szCs w:val="28"/>
        </w:rPr>
        <w:t xml:space="preserve">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прозрачности системы контрольной деятельности.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Задачами профилактической работы являются: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укрепление системы профилактики нарушений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 в сфере рассматриваемых правоотношений.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>
      <w:pPr>
        <w:ind w:firstLine="567"/>
        <w:jc w:val="center"/>
        <w:rPr>
          <w:b/>
          <w:color w:val="000000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3. Перечень профилактических мероприятий, сроки (периодичность) их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проведения</w:t>
      </w:r>
    </w:p>
    <w:p>
      <w:pPr>
        <w:ind w:firstLine="567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216"/>
      </w:tblGrid>
      <w:tr>
        <w:tc>
          <w:tcPr>
            <w:tcW w:w="67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4251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мероприятия</w:t>
            </w:r>
          </w:p>
        </w:tc>
        <w:tc>
          <w:tcPr>
            <w:tcW w:w="246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реализации мероприятия</w:t>
            </w:r>
          </w:p>
        </w:tc>
        <w:tc>
          <w:tcPr>
            <w:tcW w:w="221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Ответственное должностное лицо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4251" w:type="dxa"/>
          </w:tcPr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Информирование.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grajvoron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gosuslugi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 печатном издании   муниципального образования</w:t>
            </w:r>
          </w:p>
          <w:p>
            <w:pPr>
              <w:pStyle w:val="ConsPlusNormal"/>
              <w:ind w:right="131" w:firstLine="119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</w:p>
        </w:tc>
        <w:tc>
          <w:tcPr>
            <w:tcW w:w="2216" w:type="dxa"/>
          </w:tcPr>
          <w:p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 должностным </w:t>
            </w:r>
            <w:r>
              <w:rPr>
                <w:sz w:val="24"/>
                <w:szCs w:val="24"/>
                <w:lang w:eastAsia="en-US"/>
              </w:rPr>
              <w:t xml:space="preserve">обязанностям</w:t>
            </w:r>
            <w:r>
              <w:rPr>
                <w:sz w:val="24"/>
                <w:szCs w:val="24"/>
                <w:lang w:eastAsia="en-US"/>
              </w:rPr>
              <w:t xml:space="preserve"> которого относится осуществление муниципального контроля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4251" w:type="dxa"/>
          </w:tcPr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устной или письменной форме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телефону, посредством </w:t>
            </w:r>
            <w:r>
              <w:rPr>
                <w:sz w:val="24"/>
                <w:szCs w:val="24"/>
              </w:rPr>
              <w:t xml:space="preserve">видео-конференц-связи</w:t>
            </w:r>
            <w:r>
              <w:rPr>
                <w:sz w:val="24"/>
                <w:szCs w:val="24"/>
              </w:rPr>
              <w:t xml:space="preserve">, на личном приеме,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обращениям контролируемых лиц и их представителей</w:t>
            </w:r>
          </w:p>
        </w:tc>
        <w:tc>
          <w:tcPr>
            <w:tcW w:w="221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ind w:firstLine="567"/>
        <w:jc w:val="center"/>
        <w:rPr>
          <w:b/>
        </w:rPr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4</w:t>
      </w:r>
      <w:r>
        <w:rPr>
          <w:b/>
          <w:color w:val="000000"/>
          <w:sz w:val="28"/>
          <w:szCs w:val="28"/>
          <w:shd w:val="clear" w:fill="FFFFFF" w:color="FFFFFF"/>
        </w:rPr>
        <w:t xml:space="preserve">. Показатели результативности и </w:t>
      </w:r>
      <w:r>
        <w:rPr>
          <w:b/>
          <w:color w:val="000000"/>
          <w:sz w:val="28"/>
          <w:szCs w:val="28"/>
          <w:shd w:val="clear" w:fill="FFFFFF" w:color="FFFFFF"/>
        </w:rPr>
        <w:t xml:space="preserve">эффективности Программы</w:t>
      </w:r>
    </w:p>
    <w:p>
      <w:pPr>
        <w:ind w:firstLine="567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037"/>
      </w:tblGrid>
      <w:tr>
        <w:tc>
          <w:tcPr>
            <w:tcW w:w="675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589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</w:t>
            </w:r>
          </w:p>
        </w:tc>
        <w:tc>
          <w:tcPr>
            <w:tcW w:w="3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Величина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5894" w:type="dxa"/>
          </w:tcPr>
          <w:p>
            <w:pPr>
              <w:pStyle w:val="ConsPlusNormal"/>
              <w:ind w:firstLine="1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3 статьи 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31 июля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муниципальном контроле в Российской Федерации»</w:t>
            </w:r>
          </w:p>
        </w:tc>
        <w:tc>
          <w:tcPr>
            <w:tcW w:w="3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5894" w:type="dxa"/>
          </w:tcPr>
          <w:p>
            <w:pPr>
              <w:ind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их представителями консультированием контрольного органа</w:t>
            </w:r>
          </w:p>
        </w:tc>
        <w:tc>
          <w:tcPr>
            <w:tcW w:w="3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от числа </w:t>
            </w:r>
            <w:r>
              <w:rPr>
                <w:sz w:val="24"/>
                <w:szCs w:val="24"/>
              </w:rPr>
              <w:t xml:space="preserve">обратившихся</w:t>
            </w:r>
          </w:p>
        </w:tc>
      </w:tr>
      <w:tr>
        <w:tc>
          <w:tcPr>
            <w:tcW w:w="67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5894" w:type="dxa"/>
          </w:tcPr>
          <w:p>
            <w:pPr>
              <w:ind w:firstLine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профилактических мероприятий</w:t>
            </w:r>
          </w:p>
        </w:tc>
        <w:tc>
          <w:tcPr>
            <w:tcW w:w="303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и более</w:t>
            </w:r>
          </w:p>
        </w:tc>
      </w:tr>
    </w:tbl>
    <w:p>
      <w:pPr>
        <w:ind w:firstLine="567"/>
        <w:jc w:val="center"/>
      </w:pPr>
    </w:p>
    <w:p>
      <w:pPr>
        <w:ind w:firstLine="567"/>
        <w:jc w:val="center"/>
      </w:pPr>
    </w:p>
    <w:p>
      <w:pPr>
        <w:ind w:firstLine="567"/>
        <w:jc w:val="center"/>
      </w:pPr>
    </w:p>
    <w:p>
      <w:pPr>
        <w:jc w:val="center"/>
        <w:outlineLvl w:val="0"/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2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character" w:styleId="af">
    <w:name w:val="Emphasis"/>
    <w:qFormat/>
    <w:uiPriority w:val="20"/>
    <w:rPr>
      <w:i/>
      <w:iCs/>
    </w:rPr>
  </w:style>
  <w:style w:type="character" w:styleId="ConsPlusNormal1" w:customStyle="1">
    <w:name w:val="ConsPlusNormal1"/>
    <w:locked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8512</Characters>
  <CharactersWithSpaces>9986</CharactersWithSpaces>
  <Company/>
  <DocSecurity>0</DocSecurity>
  <HyperlinksChanged>false</HyperlinksChanged>
  <Lines>70</Lines>
  <LinksUpToDate>false</LinksUpToDate>
  <Pages>5</Pages>
  <Paragraphs>19</Paragraphs>
  <ScaleCrop>false</ScaleCrop>
  <SharedDoc>false</SharedDoc>
  <Template>Normal</Template>
  <TotalTime>64</TotalTime>
  <Words>1493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3</cp:revision>
  <cp:lastPrinted>2023-01-11T06:41:00Z</cp:lastPrinted>
  <dcterms:created xsi:type="dcterms:W3CDTF">2023-01-17T05:50:00Z</dcterms:created>
  <dcterms:modified xsi:type="dcterms:W3CDTF">2023-01-17T06:55:00Z</dcterms:modified>
</cp:coreProperties>
</file>