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FA38B2" w:rsidRDefault="00B27792">
            <w:pPr>
              <w:jc w:val="center"/>
              <w:outlineLvl w:val="0"/>
              <w:rPr>
                <w:b/>
                <w:sz w:val="28"/>
                <w:szCs w:val="26"/>
              </w:rPr>
            </w:pPr>
            <w:r>
              <w:rPr>
                <w:b/>
                <w:sz w:val="28"/>
                <w:szCs w:val="28"/>
              </w:rPr>
              <w:t xml:space="preserve">Об утверждении норматива стоимости одного квадратного метра общей площади жилья по </w:t>
            </w:r>
            <w:proofErr w:type="spellStart"/>
            <w:r>
              <w:rPr>
                <w:b/>
                <w:sz w:val="28"/>
                <w:szCs w:val="28"/>
              </w:rPr>
              <w:t>Грайворонскому</w:t>
            </w:r>
            <w:proofErr w:type="spellEnd"/>
            <w:r>
              <w:rPr>
                <w:b/>
                <w:sz w:val="28"/>
                <w:szCs w:val="28"/>
              </w:rPr>
              <w:t xml:space="preserve"> городскому округу на первое полугодие 2023 года для расчета размера социальных выплат, предоставляемых молодым семьям на приобретение жилого помещения или строительство индивидуального жилого дома</w:t>
            </w:r>
          </w:p>
          <w:p w:rsidR="00FA38B2" w:rsidRDefault="006B039D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Default="006B039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>
              <w:rPr>
                <w:b/>
                <w:sz w:val="24"/>
                <w:szCs w:val="24"/>
              </w:rPr>
              <w:t>с 18 января 2023 года по 31 января 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5EF" w:rsidRDefault="00DE75EF">
      <w:r>
        <w:separator/>
      </w:r>
    </w:p>
  </w:endnote>
  <w:endnote w:type="continuationSeparator" w:id="0">
    <w:p w:rsidR="00DE75EF" w:rsidRDefault="00DE7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5EF" w:rsidRDefault="00DE75EF">
      <w:r>
        <w:separator/>
      </w:r>
    </w:p>
  </w:footnote>
  <w:footnote w:type="continuationSeparator" w:id="0">
    <w:p w:rsidR="00DE75EF" w:rsidRDefault="00DE75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2D653C"/>
    <w:rsid w:val="006B039D"/>
    <w:rsid w:val="00AC6AC0"/>
    <w:rsid w:val="00B27792"/>
    <w:rsid w:val="00BB43B4"/>
    <w:rsid w:val="00C663EC"/>
    <w:rsid w:val="00DE75EF"/>
    <w:rsid w:val="00EC6E21"/>
    <w:rsid w:val="00FA3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458</Words>
  <Characters>2615</Characters>
  <Application>Microsoft Office Word</Application>
  <DocSecurity>0</DocSecurity>
  <Lines>21</Lines>
  <Paragraphs>6</Paragraphs>
  <ScaleCrop>false</ScaleCrop>
  <Company/>
  <LinksUpToDate>false</LinksUpToDate>
  <CharactersWithSpaces>3067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15</cp:revision>
  <cp:lastPrinted>2023-01-18T09:36:00Z</cp:lastPrinted>
  <dcterms:created xsi:type="dcterms:W3CDTF">2022-03-15T06:22:00Z</dcterms:created>
  <dcterms:modified xsi:type="dcterms:W3CDTF">2023-01-18T09:38:00Z</dcterms:modified>
</cp:coreProperties>
</file>