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A7554A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A7554A">
              <w:rPr>
                <w:sz w:val="28"/>
                <w:szCs w:val="28"/>
              </w:rPr>
              <w:t>«</w:t>
            </w:r>
            <w:r w:rsidR="00A7554A" w:rsidRPr="00A7554A">
              <w:rPr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по </w:t>
            </w:r>
            <w:proofErr w:type="spellStart"/>
            <w:r w:rsidR="00A7554A" w:rsidRPr="00A7554A">
              <w:rPr>
                <w:sz w:val="28"/>
                <w:szCs w:val="28"/>
              </w:rPr>
              <w:t>Грайв</w:t>
            </w:r>
            <w:r w:rsidR="00C46BDE">
              <w:rPr>
                <w:sz w:val="28"/>
                <w:szCs w:val="28"/>
              </w:rPr>
              <w:t>оронскому</w:t>
            </w:r>
            <w:proofErr w:type="spellEnd"/>
            <w:r w:rsidR="00C46BDE">
              <w:rPr>
                <w:sz w:val="28"/>
                <w:szCs w:val="28"/>
              </w:rPr>
              <w:t xml:space="preserve"> городскому округу на второе</w:t>
            </w:r>
            <w:r w:rsidR="00A7554A" w:rsidRPr="00A7554A">
              <w:rPr>
                <w:sz w:val="28"/>
                <w:szCs w:val="28"/>
              </w:rPr>
              <w:t xml:space="preserve"> полугодие 202</w:t>
            </w:r>
            <w:r w:rsidR="00F354A5">
              <w:rPr>
                <w:sz w:val="28"/>
                <w:szCs w:val="28"/>
              </w:rPr>
              <w:t>3</w:t>
            </w:r>
            <w:r w:rsidR="00A7554A" w:rsidRPr="00A7554A">
              <w:rPr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60110" w:rsidRDefault="00365B61" w:rsidP="00E7335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83808"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C46BDE">
              <w:rPr>
                <w:color w:val="000000"/>
                <w:sz w:val="24"/>
                <w:szCs w:val="24"/>
                <w:lang w:eastAsia="en-US"/>
              </w:rPr>
              <w:t>19 июня 2023</w:t>
            </w:r>
            <w:r w:rsidR="00CF1972" w:rsidRPr="00583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года  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C46BDE">
              <w:rPr>
                <w:color w:val="000000"/>
                <w:sz w:val="24"/>
                <w:szCs w:val="24"/>
                <w:lang w:eastAsia="en-US"/>
              </w:rPr>
              <w:t>422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«О нормативе стоимости одного квадратного метра общей площади жилого помещения  по Российской Федерации на </w:t>
            </w:r>
            <w:r w:rsidR="00C46BDE">
              <w:rPr>
                <w:color w:val="000000"/>
                <w:sz w:val="24"/>
                <w:szCs w:val="24"/>
                <w:lang w:eastAsia="en-US"/>
              </w:rPr>
              <w:t>второе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полугодие 202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      </w:r>
            <w:r w:rsidR="00C46BDE">
              <w:rPr>
                <w:color w:val="000000"/>
                <w:sz w:val="24"/>
                <w:szCs w:val="24"/>
                <w:lang w:val="en-US" w:eastAsia="en-US"/>
              </w:rPr>
              <w:t>II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квартал 202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Грайворонского городского округа (окажет/не окажет, если окажет, укажите какое влияние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365B61"/>
    <w:rsid w:val="00560110"/>
    <w:rsid w:val="00570E30"/>
    <w:rsid w:val="00583808"/>
    <w:rsid w:val="00674ABE"/>
    <w:rsid w:val="00853343"/>
    <w:rsid w:val="009D296A"/>
    <w:rsid w:val="00A14BA4"/>
    <w:rsid w:val="00A27ECC"/>
    <w:rsid w:val="00A7554A"/>
    <w:rsid w:val="00A976EB"/>
    <w:rsid w:val="00C46BDE"/>
    <w:rsid w:val="00CF0932"/>
    <w:rsid w:val="00CF1972"/>
    <w:rsid w:val="00DE2030"/>
    <w:rsid w:val="00E7335B"/>
    <w:rsid w:val="00F354A5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2023-08-01T08:34:00Z</dcterms:created>
  <dcterms:modified xsi:type="dcterms:W3CDTF">2023-08-01T08:34:00Z</dcterms:modified>
</cp:coreProperties>
</file>