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230" w:type="dxa"/>
            <w:vAlign w:val="top"/>
            <w:textDirection w:val="lrTb"/>
          </w:tcPr>
          <w:p>
            <w:pPr>
              <w:pStyle w:val="UserStyle_6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Об утверждении календарного плана составления проекта бюджета Грайворонского городского округа на 2025 год и плановый период 2026 и 2027 </w:t>
            </w:r>
            <w:r>
              <w:rPr>
                <w:b/>
                <w:sz w:val="28"/>
                <w:szCs w:val="28"/>
              </w:rPr>
              <w:t xml:space="preserve">годов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UserStyle_6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184 Бюджетного кодекса Российской Федерации, статьями </w:t>
      </w:r>
      <w:r>
        <w:rPr>
          <w:sz w:val="28"/>
          <w:szCs w:val="28"/>
        </w:rPr>
        <w:t xml:space="preserve">60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61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бюджетном устройстве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бюдж</w:t>
      </w:r>
      <w:r>
        <w:rPr>
          <w:sz w:val="28"/>
          <w:szCs w:val="28"/>
        </w:rPr>
        <w:t xml:space="preserve">етном процессе в Грайворонском городском округе, утвержденного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Грайворонского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 декабря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года №52 «О Положении о бюджетном устройстве и бюджетном процессе в Грайворонском городском округе», в целях своевременного и качественного составления проекта бюджета Грайворонского городского округа на 2025 год </w:t>
        <w:br/>
        <w:t xml:space="preserve">и на плановый период 2026 и 2027 годов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 xml:space="preserve">постановля</w:t>
      </w:r>
      <w:r>
        <w:rPr>
          <w:b/>
          <w:sz w:val="28"/>
          <w:szCs w:val="28"/>
        </w:rPr>
        <w:t xml:space="preserve">ю: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</w:t>
      </w:r>
      <w:r>
        <w:t xml:space="preserve"> </w:t>
      </w:r>
      <w:r>
        <w:rPr>
          <w:sz w:val="28"/>
          <w:szCs w:val="28"/>
        </w:rPr>
        <w:t xml:space="preserve">календарн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план составления проекта бюджета Грайворонского г</w:t>
      </w:r>
      <w:r>
        <w:rPr>
          <w:sz w:val="28"/>
          <w:szCs w:val="28"/>
        </w:rPr>
        <w:t xml:space="preserve">ородского округа на 2025 год и </w:t>
      </w:r>
      <w:r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br/>
        <w:t xml:space="preserve">2026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приложения №1</w:t>
      </w:r>
      <w:r>
        <w:rPr>
          <w:sz w:val="28"/>
          <w:szCs w:val="28"/>
        </w:rPr>
        <w:t xml:space="preserve">).</w:t>
      </w:r>
    </w:p>
    <w:p>
      <w:pPr>
        <w:pStyle w:val="Normal"/>
        <w:ind w:firstLine="708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Руководителям отраслевых управлений администрации Грайворонского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обеспечить своевременное представление необходимых материалов и расчетных показателей к проекту бюджета Грайворонского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25 год и плановый период </w:t>
        <w:br/>
        <w:t xml:space="preserve">2026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годов в установленные сроки</w:t>
      </w:r>
      <w:r>
        <w:rPr>
          <w:sz w:val="28"/>
          <w:szCs w:val="28"/>
        </w:rPr>
        <w:t xml:space="preserve">, утвержденные календарным планом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Создать бюджетную комиссию Грайворонского городского округа </w:t>
        <w:br/>
        <w:t xml:space="preserve">и утвердить её состав (приложение №2).</w:t>
      </w:r>
    </w:p>
    <w:p>
      <w:pPr>
        <w:pStyle w:val="Normal"/>
        <w:ind w:firstLine="708"/>
        <w:jc w:val="both"/>
        <w:tabs>
          <w:tab w:val="left" w:pos="1134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  <w:tab/>
        <w:t xml:space="preserve">Опубликовать настоящее постановление в газете «Родной край»,                     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</w:t>
      </w:r>
      <w:r>
        <w:rPr>
          <w:sz w:val="26"/>
          <w:szCs w:val="26"/>
          <w:lang w:val="en-US"/>
        </w:rPr>
        <w:t xml:space="preserve">grajvoron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r</w:t>
      </w:r>
      <w:r>
        <w:rPr>
          <w:sz w:val="26"/>
          <w:szCs w:val="26"/>
        </w:rPr>
        <w:t xml:space="preserve">31.</w:t>
      </w:r>
      <w:r>
        <w:rPr>
          <w:sz w:val="26"/>
          <w:szCs w:val="26"/>
          <w:lang w:val="en-US"/>
        </w:rPr>
        <w:t xml:space="preserve">gosweb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gosuslugi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).</w:t>
      </w:r>
    </w:p>
    <w:p>
      <w:pPr>
        <w:pStyle w:val="Normal"/>
        <w:ind w:firstLine="708"/>
        <w:jc w:val="both"/>
        <w:tabs>
          <w:tab w:val="left" w:pos="1134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Контроль за исполнением постановления возложить на комитет финансов и налоговой политики администрации Грайворонского городского округа (Ягич И.Н.).</w:t>
      </w: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abs>
          <w:tab w:val="left" w:pos="1134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6" w:type="dxa"/>
            <w:vAlign w:val="top"/>
            <w:textDirection w:val="lrTb"/>
          </w:tcPr>
          <w:p>
            <w:pPr>
              <w:pStyle w:val="Normal"/>
              <w:ind w:right="-1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Глава администрации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0" w:type="dxa"/>
            <w:vAlign w:val="top"/>
            <w:textDirection w:val="lrTb"/>
          </w:tcPr>
          <w:p>
            <w:pPr>
              <w:pStyle w:val="Normal"/>
              <w:ind w:right="-1"/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Г.И. Бондарев</w:t>
            </w:r>
          </w:p>
        </w:tc>
      </w:tr>
    </w:tbl>
    <w:p>
      <w:pPr>
        <w:pStyle w:val="Normal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color w:val="000000"/>
          <w:sz w:val="28"/>
          <w:szCs w:val="28"/>
        </w:rPr>
        <w:t xml:space="preserve">Приложение</w:t>
      </w:r>
      <w:r>
        <w:rPr>
          <w:b/>
          <w:color w:val="000000"/>
          <w:sz w:val="28"/>
          <w:szCs w:val="28"/>
        </w:rPr>
        <w:t xml:space="preserve"> №1</w:t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</w:t>
      </w:r>
      <w:r>
        <w:rPr>
          <w:b/>
          <w:sz w:val="28"/>
          <w:szCs w:val="28"/>
        </w:rPr>
      </w:r>
    </w:p>
    <w:p>
      <w:pPr>
        <w:pStyle w:val="Normal"/>
        <w:ind w:left="4395" w:hanging="108"/>
        <w:jc w:val="center"/>
        <w:shd w:val="clear" w:fill="FFFFFF" w:color="FFFFFF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постановлением администрации Грайворонского городского округа</w:t>
      </w:r>
      <w:r>
        <w:rPr>
          <w:b/>
          <w:sz w:val="28"/>
          <w:szCs w:val="28"/>
        </w:rPr>
      </w:r>
    </w:p>
    <w:p>
      <w:pPr>
        <w:pStyle w:val="Normal"/>
        <w:ind w:left="4395"/>
        <w:jc w:val="center"/>
        <w:spacing w:lineRule="auto" w:line="216" w:after="10" w:before="1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«___»_________20___ года №____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проекта бюджета Грайворонского городского округа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3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1985"/>
        <w:gridCol w:w="3118"/>
      </w:tblGrid>
      <w:tr>
        <w:trPr>
          <w:trHeight w:val="20"/>
          <w:tblHeader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п/п</w:t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мероприятия</w:t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исполнения</w:t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исполнение</w:t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Довести до сведения главных р</w:t>
            </w:r>
            <w:r>
              <w:rPr>
                <w:color w:val="000000"/>
                <w:sz w:val="28"/>
                <w:szCs w:val="28"/>
              </w:rPr>
              <w:t xml:space="preserve">аспорядителей бюджетных средств</w:t>
            </w:r>
            <w:r>
              <w:rPr>
                <w:color w:val="000000"/>
                <w:sz w:val="28"/>
                <w:szCs w:val="28"/>
              </w:rPr>
              <w:t xml:space="preserve"> методические указания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формированию бюджета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плановый период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налоговой политики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(Ягич</w:t>
            </w:r>
            <w:r>
              <w:rPr>
                <w:color w:val="000000"/>
                <w:sz w:val="28"/>
                <w:szCs w:val="28"/>
              </w:rPr>
              <w:t xml:space="preserve"> И.Н.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редставить в комитет финансов и налоговой политики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: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среднегодовую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среднесписочную численность населения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;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фонд заработной платы работников организаций</w:t>
            </w:r>
            <w:r>
              <w:rPr>
                <w:color w:val="000000"/>
                <w:sz w:val="28"/>
                <w:szCs w:val="28"/>
              </w:rPr>
              <w:t xml:space="preserve"> </w:t>
              <w:br/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 xml:space="preserve">округу,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работников бюджетных организаций;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- </w:t>
            </w:r>
            <w:r>
              <w:rPr>
                <w:color w:val="000000"/>
                <w:sz w:val="28"/>
                <w:szCs w:val="28"/>
              </w:rPr>
              <w:t xml:space="preserve">среднемесячную номинальную начисленную заработную плату работников организаций </w:t>
            </w:r>
            <w:r>
              <w:rPr>
                <w:color w:val="000000"/>
                <w:sz w:val="28"/>
                <w:szCs w:val="28"/>
              </w:rPr>
              <w:br/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Грайворонскому  </w:t>
            </w:r>
            <w:r>
              <w:rPr>
                <w:color w:val="000000"/>
                <w:sz w:val="28"/>
                <w:szCs w:val="28"/>
              </w:rPr>
              <w:t xml:space="preserve">городскому округу,</w:t>
            </w:r>
            <w:r>
              <w:rPr>
                <w:color w:val="000000"/>
                <w:sz w:val="28"/>
                <w:szCs w:val="28"/>
              </w:rPr>
              <w:t xml:space="preserve"> в том числе работников бюджетны</w:t>
            </w:r>
            <w:r>
              <w:rPr>
                <w:color w:val="000000"/>
                <w:sz w:val="28"/>
                <w:szCs w:val="28"/>
              </w:rPr>
              <w:t xml:space="preserve">х организаций.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Разработать основные показатели социально-экономического развития Грайворонского городского округа 2025-2027 годы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10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t xml:space="preserve">экономического развития администрации Грайворонского городского округа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(Чепурная Е.И.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в комитет финансов и налоговой политики администрации </w:t>
            </w:r>
            <w:r>
              <w:rPr>
                <w:color w:val="000000"/>
                <w:sz w:val="28"/>
                <w:szCs w:val="28"/>
              </w:rPr>
              <w:t xml:space="preserve">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прогнозный расчет поступлений в бюджет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на 2025</w:t>
            </w:r>
            <w:r>
              <w:rPr>
                <w:color w:val="000000"/>
                <w:sz w:val="28"/>
                <w:szCs w:val="28"/>
              </w:rPr>
              <w:t xml:space="preserve">- 202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ожи</w:t>
            </w:r>
            <w:r>
              <w:rPr>
                <w:color w:val="000000"/>
                <w:sz w:val="28"/>
                <w:szCs w:val="28"/>
              </w:rPr>
              <w:t xml:space="preserve">даемую оценку поступлений за 2024</w:t>
            </w:r>
            <w:r>
              <w:rPr>
                <w:color w:val="000000"/>
                <w:sz w:val="28"/>
                <w:szCs w:val="28"/>
              </w:rPr>
              <w:t xml:space="preserve"> год доходов от сдачи в аренду имущества, доходов, получаемых в виде арендной платы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земельные участки, доходов от продажи земельных участков, имущества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 находящихся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муниципальной собственности, доходов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от части прибыли муниципальных унитарных предпри</w:t>
            </w:r>
            <w:r>
              <w:rPr>
                <w:color w:val="000000"/>
                <w:sz w:val="28"/>
                <w:szCs w:val="28"/>
              </w:rPr>
              <w:t xml:space="preserve">ятий в бюджет 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, оставшейся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их распоряжении после уплаты налогов, а также налога на имущество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объекта</w:t>
            </w:r>
            <w:r>
              <w:rPr>
                <w:color w:val="000000"/>
                <w:sz w:val="28"/>
                <w:szCs w:val="28"/>
              </w:rPr>
              <w:t xml:space="preserve">м торгово-офисного назначения </w:t>
              <w:br/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приложением пояснительной запиской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сентября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муниципальной собственности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земельных ресурсов</w:t>
            </w:r>
            <w:r>
              <w:rPr>
                <w:color w:val="000000"/>
                <w:sz w:val="28"/>
                <w:szCs w:val="28"/>
              </w:rPr>
              <w:t xml:space="preserve"> администрации Грайворонского городского округа </w:t>
            </w:r>
            <w:r>
              <w:rPr>
                <w:color w:val="000000"/>
                <w:sz w:val="28"/>
                <w:szCs w:val="28"/>
              </w:rPr>
              <w:t xml:space="preserve"> (Зайцев А.В.)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</w:t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в комитет финансов и налоговой политики администрации Грайворонского городского округа прогнозный расчет поступлений в бюджет  Грайворонского городского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кадастровую стоимость земель по категориям земель на 2025-2027 годы;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кадастровую  стоимость имущества физических лиц по состоянию на 1 января 2024 года (облагаемую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необлагаемую)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10 сентября 2024 года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муниципальной собственности 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земельных ресурсов администрации Грайворонского городского округа  (Зайцев А.В.)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Произвести прогнозный расчёт поступлений платы за негативное воздейс</w:t>
            </w:r>
            <w:r>
              <w:rPr>
                <w:color w:val="000000"/>
                <w:sz w:val="28"/>
                <w:szCs w:val="28"/>
              </w:rPr>
              <w:t xml:space="preserve">твие на окружающую среду </w:t>
              <w:br/>
              <w:t xml:space="preserve">на 2025 - 2027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доле, зачисляемой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бюджет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, прогноз поступлений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администрируемым штрафам на 2025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и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представить в комитет финансов и налоговой политики администрации  </w:t>
            </w:r>
            <w:r>
              <w:rPr>
                <w:color w:val="000000"/>
                <w:sz w:val="28"/>
                <w:szCs w:val="28"/>
              </w:rPr>
              <w:t xml:space="preserve">Грайворонского городского округа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Росприроднадзора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Белгородской области (</w:t>
            </w:r>
            <w:r>
              <w:rPr>
                <w:color w:val="000000"/>
                <w:sz w:val="28"/>
                <w:szCs w:val="28"/>
              </w:rPr>
              <w:t xml:space="preserve">Карякин А.Ф.</w:t>
            </w:r>
            <w:r>
              <w:rPr>
                <w:color w:val="000000"/>
                <w:sz w:val="28"/>
                <w:szCs w:val="28"/>
              </w:rPr>
              <w:t xml:space="preserve">) (по согласованию)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печати и телерадиов</w:t>
            </w:r>
            <w:r>
              <w:rPr>
                <w:color w:val="000000"/>
                <w:sz w:val="28"/>
                <w:szCs w:val="28"/>
              </w:rPr>
              <w:t xml:space="preserve">ещания Белгородской области   (</w:t>
            </w:r>
            <w:r>
              <w:rPr>
                <w:color w:val="000000"/>
                <w:sz w:val="28"/>
                <w:szCs w:val="28"/>
              </w:rPr>
              <w:t xml:space="preserve">Ходеев А.Г.)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– государственная инспекция по охране почв Белгородской области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(Терентьев М.</w:t>
            </w:r>
            <w:r>
              <w:rPr>
                <w:color w:val="000000"/>
                <w:sz w:val="28"/>
                <w:szCs w:val="28"/>
              </w:rPr>
              <w:t xml:space="preserve">В.)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Разработать и представить</w:t>
            </w:r>
            <w:r>
              <w:rPr>
                <w:color w:val="000000"/>
                <w:sz w:val="28"/>
                <w:szCs w:val="28"/>
              </w:rPr>
              <w:t xml:space="preserve"> </w:t>
              <w:br/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прогнозы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администрируемым штрафам 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и ожи</w:t>
            </w:r>
            <w:r>
              <w:rPr>
                <w:color w:val="000000"/>
                <w:sz w:val="28"/>
                <w:szCs w:val="28"/>
              </w:rPr>
              <w:t xml:space="preserve">даемую оценку поступлений за 2024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Федеральная служба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надзору в сфере защиты прав потребителей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благополучия человека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Белгородской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(Оглезнева Е.Е.)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t xml:space="preserve">экологического </w:t>
              <w:br/>
              <w:t xml:space="preserve">и охотничьего надзора</w:t>
            </w:r>
            <w:r>
              <w:rPr>
                <w:color w:val="000000"/>
                <w:sz w:val="28"/>
                <w:szCs w:val="28"/>
              </w:rPr>
              <w:t xml:space="preserve"> Белгородской области (</w:t>
            </w:r>
            <w:r>
              <w:rPr>
                <w:color w:val="000000"/>
                <w:sz w:val="28"/>
                <w:szCs w:val="28"/>
              </w:rPr>
              <w:t xml:space="preserve">Гоц А.П.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ветеринарии Белгородской области (</w:t>
            </w:r>
            <w:r>
              <w:rPr>
                <w:color w:val="000000"/>
                <w:sz w:val="28"/>
                <w:szCs w:val="28"/>
              </w:rPr>
              <w:t xml:space="preserve">Кравцов Д.М.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Разработать и представить  </w:t>
            </w:r>
            <w:r>
              <w:rPr>
                <w:color w:val="000000"/>
                <w:sz w:val="28"/>
                <w:szCs w:val="28"/>
              </w:rPr>
              <w:br/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налоговой политики администрации  Грайворонског</w:t>
            </w:r>
            <w:r>
              <w:rPr>
                <w:color w:val="000000"/>
                <w:sz w:val="28"/>
                <w:szCs w:val="28"/>
              </w:rPr>
              <w:t xml:space="preserve">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прогнозы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администрируемым доходным исто</w:t>
            </w:r>
            <w:r>
              <w:rPr>
                <w:color w:val="000000"/>
                <w:sz w:val="28"/>
                <w:szCs w:val="28"/>
              </w:rPr>
              <w:t xml:space="preserve">чникам бюджета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20</w:t>
            </w:r>
            <w:r>
              <w:rPr>
                <w:color w:val="000000"/>
                <w:sz w:val="28"/>
                <w:szCs w:val="28"/>
              </w:rPr>
              <w:t xml:space="preserve">25-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приложением пояснительной записки, ожидаемую оценку поступлений за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налоговым доходам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видам доходных источников и штрафам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нарушение налогового законодательства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ФНС России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Белгородской области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</w:t>
            </w:r>
            <w:r>
              <w:rPr>
                <w:color w:val="000000"/>
                <w:sz w:val="28"/>
                <w:szCs w:val="28"/>
              </w:rPr>
              <w:t xml:space="preserve">Попова Н.Е.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</w:t>
            </w:r>
            <w:r>
              <w:rPr>
                <w:color w:val="000000"/>
                <w:sz w:val="28"/>
                <w:szCs w:val="28"/>
              </w:rPr>
              <w:t xml:space="preserve">истрации 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отчёты с учётом показателей по крупным плательщикам: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о начисленных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поступивших суммах платежей в бюджет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по местным налогам, сборам, налогу на доходы физических лиц и единому сельскохозяйственному налогу за 20</w:t>
            </w:r>
            <w:r>
              <w:rPr>
                <w:color w:val="000000"/>
                <w:sz w:val="28"/>
                <w:szCs w:val="28"/>
              </w:rPr>
              <w:t xml:space="preserve">23 год </w:t>
              <w:br/>
              <w:t xml:space="preserve">и 1</w:t>
            </w:r>
            <w:r>
              <w:rPr>
                <w:color w:val="000000"/>
                <w:sz w:val="28"/>
                <w:szCs w:val="28"/>
              </w:rPr>
              <w:t xml:space="preserve"> полугодие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года;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налога, взимаемого в виде стоимости патента в связи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применением упрощенной системы налогообложения за первое полугодие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ФНС России 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Белгородской области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</w:t>
            </w:r>
            <w:r>
              <w:rPr>
                <w:color w:val="000000"/>
                <w:sz w:val="28"/>
                <w:szCs w:val="28"/>
              </w:rPr>
              <w:t xml:space="preserve">Попова Н.Е.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Подтвердить свои </w:t>
            </w:r>
            <w:r>
              <w:rPr>
                <w:color w:val="000000"/>
                <w:sz w:val="28"/>
                <w:szCs w:val="28"/>
              </w:rPr>
              <w:t xml:space="preserve">полномочия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администрированию доходов бюджета городского округа (по видам доходов) с приложением соответствующего нормативного правового акта и представить предложения в комитет финансов и налоговой политики администрации Грайворонского городского округа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2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сентября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Администраторы доходов бюджета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, органы исполнительной власти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государственные органы Белгородской области, территориальные органы федеральных органов исполнительной власти (по согласованию)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</w:t>
            </w:r>
            <w:r>
              <w:rPr>
                <w:color w:val="000000"/>
                <w:sz w:val="28"/>
                <w:szCs w:val="28"/>
              </w:rPr>
              <w:t xml:space="preserve">и администрации  Грайворонского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информацию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о протяженности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разрезе категорий, зарегистрированных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муниципальной собственности</w:t>
            </w:r>
            <w:r>
              <w:rPr>
                <w:color w:val="000000"/>
                <w:sz w:val="28"/>
                <w:szCs w:val="28"/>
              </w:rPr>
              <w:t xml:space="preserve"> по состоянию на 1 января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 2024</w:t>
            </w:r>
            <w:r>
              <w:rPr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ЖКХ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>
              <w:rPr>
                <w:color w:val="000000"/>
                <w:sz w:val="28"/>
                <w:szCs w:val="28"/>
              </w:rPr>
              <w:t xml:space="preserve">прогноз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приложением пояснительной записки, </w:t>
            </w:r>
            <w:r>
              <w:rPr>
                <w:color w:val="000000"/>
                <w:sz w:val="28"/>
                <w:szCs w:val="28"/>
              </w:rPr>
              <w:t xml:space="preserve">ожидаемую оценку платежей за 2024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учреждениям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налога на имущество организаций;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остаточной стоимости движимого имущества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для целей налогообложения;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земельного налога;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доходов от оказания платных услуг.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 2024</w:t>
            </w:r>
            <w:r>
              <w:rPr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 главы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(Адаменко Е.А)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(Безгодько В.</w:t>
            </w:r>
            <w:r>
              <w:rPr>
                <w:color w:val="000000"/>
                <w:sz w:val="28"/>
                <w:szCs w:val="28"/>
              </w:rPr>
              <w:t xml:space="preserve">А.)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(Трунова Д.</w:t>
            </w:r>
            <w:r>
              <w:rPr>
                <w:color w:val="000000"/>
                <w:sz w:val="28"/>
                <w:szCs w:val="28"/>
              </w:rPr>
              <w:t xml:space="preserve">И.)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Борисова Т.А.)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школа» г.Грайворона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(Лыжов И.А.)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</w:t>
            </w:r>
            <w:r>
              <w:rPr>
                <w:color w:val="000000"/>
                <w:sz w:val="28"/>
                <w:szCs w:val="28"/>
              </w:rPr>
              <w:t xml:space="preserve">в комитет финансов и налоговой политик</w:t>
            </w:r>
            <w:r>
              <w:rPr>
                <w:color w:val="000000"/>
                <w:sz w:val="28"/>
                <w:szCs w:val="28"/>
              </w:rPr>
              <w:t xml:space="preserve">и администрации  Грайворонского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данные о штатной численно</w:t>
            </w:r>
            <w:r>
              <w:rPr>
                <w:color w:val="000000"/>
                <w:sz w:val="28"/>
                <w:szCs w:val="28"/>
              </w:rPr>
              <w:t xml:space="preserve">сти работников </w:t>
              <w:br/>
              <w:t xml:space="preserve">на 01 сентября 2024</w:t>
            </w:r>
            <w:r>
              <w:rPr>
                <w:color w:val="000000"/>
                <w:sz w:val="28"/>
                <w:szCs w:val="28"/>
              </w:rPr>
              <w:t xml:space="preserve"> года, планируемых изменениях структур и их численности на 20</w:t>
            </w:r>
            <w:r>
              <w:rPr>
                <w:color w:val="000000"/>
                <w:sz w:val="28"/>
                <w:szCs w:val="28"/>
              </w:rPr>
              <w:t xml:space="preserve">25 год и плановый период 2026</w:t>
            </w:r>
            <w:r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разрезе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 2024 </w:t>
            </w:r>
            <w:r>
              <w:rPr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 главы администрации</w:t>
            </w:r>
            <w:r>
              <w:rPr>
                <w:color w:val="000000"/>
                <w:sz w:val="28"/>
                <w:szCs w:val="28"/>
              </w:rPr>
              <w:t xml:space="preserve">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(Адаменко Е.</w:t>
            </w:r>
            <w:r>
              <w:rPr>
                <w:color w:val="000000"/>
                <w:sz w:val="28"/>
                <w:szCs w:val="28"/>
              </w:rPr>
              <w:t xml:space="preserve">А)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(Безгодько В.</w:t>
            </w:r>
            <w:r>
              <w:rPr>
                <w:color w:val="000000"/>
                <w:sz w:val="28"/>
                <w:szCs w:val="28"/>
              </w:rPr>
              <w:t xml:space="preserve">А.)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(Трунова Д.</w:t>
            </w:r>
            <w:r>
              <w:rPr>
                <w:color w:val="000000"/>
                <w:sz w:val="28"/>
                <w:szCs w:val="28"/>
              </w:rPr>
              <w:t xml:space="preserve">И.)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Борисова Т.А.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школа» г.Грайворона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(Лыжов И.А.)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 в комитет финансов и нал</w:t>
            </w:r>
            <w:r>
              <w:rPr>
                <w:color w:val="000000"/>
                <w:sz w:val="28"/>
                <w:szCs w:val="28"/>
              </w:rPr>
              <w:t xml:space="preserve">оговой политики администрации 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лимиты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натуральном выражении, тарифы и объемы расходов на электрическую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тепловую энергию, газ, воду и водоотведение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годы, необходимые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для обеспечения нужд организаций, финансируемых из бюджета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, по отраслям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разрезе учреждений;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лимиты потребления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объемы расходов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тепловую энергию,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учетом дополнительной детализации в разрезе учреждений, участвующих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энергосберегающих мероприятиях, с указ</w:t>
            </w:r>
            <w:r>
              <w:rPr>
                <w:color w:val="000000"/>
                <w:sz w:val="28"/>
                <w:szCs w:val="28"/>
              </w:rPr>
              <w:t xml:space="preserve">анием фактических объемов </w:t>
              <w:br/>
              <w:t xml:space="preserve">за 2024</w:t>
            </w:r>
            <w:r>
              <w:rPr>
                <w:color w:val="000000"/>
                <w:sz w:val="28"/>
                <w:szCs w:val="28"/>
              </w:rPr>
              <w:t xml:space="preserve"> год, а также </w:t>
            </w: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оответствующие</w:t>
            </w:r>
            <w:r>
              <w:rPr>
                <w:color w:val="000000"/>
                <w:sz w:val="28"/>
                <w:szCs w:val="28"/>
              </w:rPr>
              <w:t xml:space="preserve"> расчеты на 2025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выделением из общего объема лимитов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натуральном и денежном выражениях расчетной (плановой) экономии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соответствующий финансовый год;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анализ исполнения утвержденных лимитов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тепловую энергию, электроэнергию, газ, воду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канализацию </w:t>
              <w:br/>
              <w:t xml:space="preserve">за 2022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годы, ожидаемое исполнение </w:t>
              <w:br/>
              <w:t xml:space="preserve">за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 в разрезе</w:t>
            </w:r>
            <w:r>
              <w:rPr>
                <w:color w:val="000000"/>
                <w:sz w:val="28"/>
                <w:szCs w:val="28"/>
              </w:rPr>
              <w:t xml:space="preserve"> отраслей и учреждений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ТЭК администрации Грайворонского</w:t>
            </w:r>
            <w:r>
              <w:rPr>
                <w:color w:val="000000"/>
                <w:sz w:val="28"/>
                <w:szCs w:val="28"/>
              </w:rPr>
              <w:t xml:space="preserve"> 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Грайворонского городского округа: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ведомственные перечни муниципальных услуг </w:t>
              <w:br/>
              <w:t xml:space="preserve">и работ, оказываемых </w:t>
              <w:br/>
              <w:t xml:space="preserve">и выполняемых муниципальными учреждениями Грайворонского городского округа;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проекты муниципальных заданий, рассчитанные </w:t>
              <w:br/>
              <w:t xml:space="preserve">на основании ведомственных перечней муниципальных услуг </w:t>
              <w:br/>
              <w:t xml:space="preserve">и работ, выполняемых муниципальными учреждениями Грайворонского городского округа с учетом нормативных затрат </w:t>
              <w:br/>
              <w:t xml:space="preserve">на оказание муниципальных услуг;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паспорта муниципальных программ, проекты изменений муниципальных программ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 главы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(Адаменко Е.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color w:val="000000"/>
                <w:sz w:val="28"/>
                <w:szCs w:val="28"/>
              </w:rPr>
              <w:t xml:space="preserve">администрации  Грайворонского  городского округа (Борисова Т.А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(Б</w:t>
            </w:r>
            <w:r>
              <w:rPr>
                <w:color w:val="000000"/>
                <w:sz w:val="28"/>
                <w:szCs w:val="28"/>
              </w:rPr>
              <w:t xml:space="preserve">езгодько В.</w:t>
            </w:r>
            <w:r>
              <w:rPr>
                <w:color w:val="000000"/>
                <w:sz w:val="28"/>
                <w:szCs w:val="28"/>
              </w:rPr>
              <w:t xml:space="preserve">А.)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(Трунова Д.И.)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школа» г.Грайворона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(Лыжов И.А.)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безопасности администрации Грайворонского</w:t>
            </w:r>
            <w:r>
              <w:rPr>
                <w:color w:val="000000"/>
                <w:sz w:val="28"/>
                <w:szCs w:val="28"/>
              </w:rPr>
              <w:t xml:space="preserve"> городского округа (Радченко В.</w:t>
            </w:r>
            <w:r>
              <w:rPr>
                <w:color w:val="000000"/>
                <w:sz w:val="28"/>
                <w:szCs w:val="28"/>
              </w:rPr>
              <w:t xml:space="preserve">И.)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348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прогнозные тарифы на тепловую энергию, электроэнергию, газ, водоснабжение, водоотведение, утилизацию и захоронение ТБО, ЖБО, для всех групп потребителей на </w:t>
            </w:r>
            <w:r>
              <w:rPr>
                <w:color w:val="000000"/>
                <w:sz w:val="28"/>
                <w:szCs w:val="28"/>
              </w:rPr>
              <w:t xml:space="preserve">2025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сентября 2024 года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(Твердун Р.Г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</w:t>
            </w:r>
            <w:r>
              <w:rPr>
                <w:color w:val="000000"/>
                <w:sz w:val="28"/>
                <w:szCs w:val="28"/>
              </w:rPr>
              <w:t xml:space="preserve">в комитет финансов и налоговой политики админи</w:t>
            </w:r>
            <w:r>
              <w:rPr>
                <w:color w:val="000000"/>
                <w:sz w:val="28"/>
                <w:szCs w:val="28"/>
              </w:rPr>
              <w:t xml:space="preserve">страции 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расчет потребности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текущее содержание объектов благоустройства (освещение улиц, озеленение населенных пунктов), а также тарифы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оплате работ и услуг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текущему содержанию объектов благоустройства 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годы;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11223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бюджет расходов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реализацию мероприятий по организации наружного освещения, стоимости затрат на оплату электроэнергии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технического обслуживания светоточек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указанием их количества, протяжённости сетей наружного освещения, стоимости затрат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содержание одной светоточки Грайворонского городского округа</w:t>
            </w:r>
            <w:r>
              <w:rPr>
                <w:sz w:val="28"/>
                <w:szCs w:val="28"/>
              </w:rPr>
              <w:t xml:space="preserve"> </w:t>
              <w:br/>
              <w:t xml:space="preserve">на 2024</w:t>
            </w:r>
            <w:r>
              <w:rPr>
                <w:sz w:val="28"/>
                <w:szCs w:val="28"/>
              </w:rPr>
              <w:t xml:space="preserve">- 202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годы;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динамику фактических расходов, направленных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реализацию мероприятий по организации наружного освещения населенных пунктов Грайворонского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</w:t>
              <w:br/>
              <w:t xml:space="preserve">за 2023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разрезе статей затрат на оплату электроэнергии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технического обслуживания светоточек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указанием их количества, протяжённости сетей наружного освещения, стоимости затрат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содержание одной светоточки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20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</w:t>
            </w:r>
            <w:r>
              <w:rPr>
                <w:color w:val="000000"/>
                <w:sz w:val="28"/>
                <w:szCs w:val="28"/>
              </w:rPr>
              <w:t xml:space="preserve">К администрации Грайворонского 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FF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</w:t>
            </w:r>
            <w:r>
              <w:rPr>
                <w:color w:val="000000"/>
                <w:sz w:val="28"/>
                <w:szCs w:val="28"/>
              </w:rPr>
              <w:t xml:space="preserve">в комитет </w:t>
            </w:r>
            <w:r>
              <w:rPr>
                <w:color w:val="000000"/>
                <w:sz w:val="28"/>
                <w:szCs w:val="28"/>
              </w:rPr>
              <w:t xml:space="preserve">финансов и налоговой политики администрации  Грайворонского городского округа информацию </w:t>
              <w:br/>
              <w:t xml:space="preserve">о количестве финансовых затрат на капитальный ремонт, ремонт </w:t>
              <w:br/>
              <w:t xml:space="preserve">и содержание автомобильных дорог, находящихся </w:t>
              <w:br/>
              <w:t xml:space="preserve">в муниципальной собственности </w:t>
              <w:br/>
              <w:t xml:space="preserve">на 2025 - 2027 годы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Представить в комитет финансов и налоговой политики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расчеты сумм льгот, пособий и субсидий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разрезе видов и категорий </w:t>
            </w:r>
            <w:r>
              <w:rPr>
                <w:color w:val="000000"/>
                <w:sz w:val="28"/>
                <w:szCs w:val="28"/>
              </w:rPr>
              <w:t xml:space="preserve">ожидаемого контингента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за счет средств бюджета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администрации 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Борисова Т.А.)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Предоставить </w:t>
            </w:r>
            <w:r>
              <w:rPr>
                <w:color w:val="000000"/>
                <w:sz w:val="28"/>
                <w:szCs w:val="28"/>
              </w:rPr>
              <w:t xml:space="preserve">в комитет финансов и налоговой политики администрац</w:t>
            </w:r>
            <w:r>
              <w:rPr>
                <w:color w:val="000000"/>
                <w:sz w:val="28"/>
                <w:szCs w:val="28"/>
              </w:rPr>
              <w:t xml:space="preserve">ии  Грайворонского городского округа </w:t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ообъектный перечень мероприятий </w:t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реконструкции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капитальному ремонту объектов социально- культурной сферы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инженерному обустрой</w:t>
            </w:r>
            <w:r>
              <w:rPr>
                <w:color w:val="000000"/>
                <w:sz w:val="28"/>
                <w:szCs w:val="28"/>
              </w:rPr>
              <w:t xml:space="preserve">ству территории Грайворонского городского округа на 2025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годы, пообъектный перечень мероприятий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модернизации (реконструкции) объектов водоснабжения территории 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20 сентября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строительству, транспорту,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ЖКХ и ТЭК администрации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(Твердун Р.</w:t>
            </w:r>
            <w:r>
              <w:rPr>
                <w:color w:val="000000"/>
                <w:sz w:val="28"/>
                <w:szCs w:val="28"/>
              </w:rPr>
              <w:t xml:space="preserve">Г</w:t>
            </w:r>
            <w:r>
              <w:rPr>
                <w:color w:val="000000"/>
              </w:rPr>
              <w:t xml:space="preserve">.)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Подготовить п</w:t>
            </w:r>
            <w:r>
              <w:rPr>
                <w:color w:val="000000"/>
                <w:sz w:val="28"/>
                <w:szCs w:val="28"/>
              </w:rPr>
              <w:t xml:space="preserve">редварительные итоги социально-</w:t>
            </w:r>
            <w:r>
              <w:rPr>
                <w:color w:val="000000"/>
                <w:sz w:val="28"/>
                <w:szCs w:val="28"/>
              </w:rPr>
              <w:t xml:space="preserve">экономичес</w:t>
            </w:r>
            <w:r>
              <w:rPr>
                <w:color w:val="000000"/>
                <w:sz w:val="28"/>
                <w:szCs w:val="28"/>
              </w:rPr>
              <w:t xml:space="preserve">кого развития Грайворонского  городского округа за январь-август 2024</w:t>
            </w:r>
            <w:r>
              <w:rPr>
                <w:color w:val="000000"/>
                <w:sz w:val="28"/>
                <w:szCs w:val="28"/>
              </w:rPr>
              <w:t xml:space="preserve"> года </w:t>
            </w:r>
            <w:r>
              <w:rPr>
                <w:color w:val="000000"/>
                <w:sz w:val="28"/>
                <w:szCs w:val="28"/>
              </w:rPr>
              <w:t xml:space="preserve">и оценку   итогов за 2024 год в целом, прогноза на 2025-2027 годы  и предоставить в комитет финансов и налоговой политики администрации Грайворонского городского округа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20 сентября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</w:t>
            </w:r>
            <w:r>
              <w:rPr>
                <w:color w:val="000000"/>
                <w:sz w:val="28"/>
                <w:szCs w:val="28"/>
              </w:rPr>
              <w:t xml:space="preserve"> экономического развития администрации Грайворонского городского округа          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Чепурная Е.И.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592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Рассмотреть и согласовать на бюджетной комиссии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главными распорядителями (ра</w:t>
            </w:r>
            <w:r>
              <w:rPr>
                <w:color w:val="000000"/>
                <w:sz w:val="28"/>
                <w:szCs w:val="28"/>
              </w:rPr>
              <w:t xml:space="preserve">спорядителями) средств бюджета </w:t>
            </w:r>
            <w:r>
              <w:rPr>
                <w:color w:val="000000"/>
                <w:sz w:val="28"/>
                <w:szCs w:val="28"/>
              </w:rPr>
              <w:t xml:space="preserve">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проекты бюджетов </w:t>
              <w:br/>
              <w:t xml:space="preserve">на 2025</w:t>
            </w:r>
            <w:r>
              <w:rPr>
                <w:color w:val="000000"/>
                <w:sz w:val="28"/>
                <w:szCs w:val="28"/>
              </w:rPr>
              <w:t xml:space="preserve">-202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годы согласно утвержденному графику предоставл</w:t>
            </w:r>
            <w:r>
              <w:rPr>
                <w:color w:val="000000"/>
                <w:sz w:val="28"/>
                <w:szCs w:val="28"/>
              </w:rPr>
              <w:t xml:space="preserve">ения документов для подготовки </w:t>
            </w:r>
            <w:r>
              <w:rPr>
                <w:color w:val="000000"/>
                <w:sz w:val="28"/>
                <w:szCs w:val="28"/>
              </w:rPr>
              <w:t xml:space="preserve">бюджета </w:t>
            </w:r>
            <w:r>
              <w:rPr>
                <w:color w:val="000000"/>
                <w:sz w:val="28"/>
                <w:szCs w:val="28"/>
              </w:rPr>
              <w:t xml:space="preserve">Грайворонского городского округа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 главы администрации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(Адаменко </w:t>
            </w:r>
            <w:r>
              <w:rPr>
                <w:color w:val="000000"/>
                <w:sz w:val="28"/>
                <w:szCs w:val="28"/>
              </w:rPr>
              <w:t xml:space="preserve">Е.</w:t>
            </w:r>
            <w:r>
              <w:rPr>
                <w:color w:val="000000"/>
                <w:sz w:val="28"/>
                <w:szCs w:val="28"/>
              </w:rPr>
              <w:t xml:space="preserve">А.)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(Безгодько В.</w:t>
            </w:r>
            <w:r>
              <w:rPr>
                <w:color w:val="000000"/>
                <w:sz w:val="28"/>
                <w:szCs w:val="28"/>
              </w:rPr>
              <w:t xml:space="preserve">А.)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молодежной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(Трунова Д.</w:t>
            </w:r>
            <w:r>
              <w:rPr>
                <w:color w:val="000000"/>
                <w:sz w:val="28"/>
                <w:szCs w:val="28"/>
              </w:rPr>
              <w:t xml:space="preserve">И.)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населения администрации 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Борисова Т.А.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школа» г.Грайворона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(Лыжов И.А.)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и принятие муниципальных программ в новом формате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 ноября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</w:t>
            </w:r>
            <w:r>
              <w:rPr>
                <w:color w:val="000000"/>
                <w:sz w:val="28"/>
                <w:szCs w:val="28"/>
              </w:rPr>
              <w:t xml:space="preserve"> экономического развития администрации Грайворонского городского округа          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Чепурная Е.И.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fill="FFFFFF" w:color="FFFFFF"/>
            <w:tcW w:w="7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68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Внести на рассмотрение </w:t>
            </w:r>
            <w:r>
              <w:rPr>
                <w:color w:val="000000"/>
                <w:sz w:val="28"/>
                <w:szCs w:val="28"/>
              </w:rPr>
              <w:t xml:space="preserve">Со</w:t>
            </w:r>
            <w:r>
              <w:rPr>
                <w:color w:val="000000"/>
                <w:sz w:val="28"/>
                <w:szCs w:val="28"/>
              </w:rPr>
              <w:t xml:space="preserve">вета</w:t>
            </w:r>
            <w:r>
              <w:rPr>
                <w:color w:val="000000"/>
                <w:sz w:val="28"/>
                <w:szCs w:val="28"/>
              </w:rPr>
              <w:t xml:space="preserve"> депутатов</w:t>
            </w:r>
            <w:r>
              <w:rPr>
                <w:color w:val="000000"/>
                <w:sz w:val="28"/>
                <w:szCs w:val="28"/>
              </w:rPr>
              <w:t xml:space="preserve"> Грайворонского </w:t>
            </w:r>
            <w:r>
              <w:rPr>
                <w:color w:val="000000"/>
                <w:sz w:val="28"/>
                <w:szCs w:val="28"/>
              </w:rPr>
              <w:t xml:space="preserve">городского округа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проект бюджета Грайворонского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плановый период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- 202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198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15 ноября 2024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fill="FFFFFF" w:color="FFFFFF"/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финансов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налоговой политики администрации  Грайворонского  </w:t>
            </w:r>
            <w:r>
              <w:rPr>
                <w:color w:val="000000"/>
                <w:sz w:val="28"/>
                <w:szCs w:val="28"/>
              </w:rPr>
              <w:t xml:space="preserve">городского округа         (Ягич И.Н.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contextualSpacing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 xml:space="preserve">Приложение</w:t>
      </w:r>
      <w:r>
        <w:rPr>
          <w:b/>
          <w:color w:val="000000"/>
          <w:sz w:val="28"/>
          <w:szCs w:val="28"/>
        </w:rPr>
        <w:t xml:space="preserve"> №2</w:t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4395"/>
        <w:jc w:val="center"/>
        <w:shd w:val="clear" w:fill="FFFFFF" w:color="FFFFFF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</w:t>
      </w:r>
      <w:r>
        <w:rPr>
          <w:b/>
          <w:sz w:val="28"/>
          <w:szCs w:val="28"/>
        </w:rPr>
      </w:r>
    </w:p>
    <w:p>
      <w:pPr>
        <w:pStyle w:val="Normal"/>
        <w:ind w:left="4395" w:hanging="108"/>
        <w:jc w:val="center"/>
        <w:shd w:val="clear" w:fill="FFFFFF" w:color="FFFFFF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постановлением администрации Грайворонского городского округа</w:t>
      </w:r>
      <w:r>
        <w:rPr>
          <w:b/>
          <w:sz w:val="28"/>
          <w:szCs w:val="28"/>
        </w:rPr>
      </w:r>
    </w:p>
    <w:p>
      <w:pPr>
        <w:pStyle w:val="Normal"/>
        <w:ind w:left="4395"/>
        <w:jc w:val="center"/>
        <w:spacing w:lineRule="auto" w:line="216" w:after="10" w:before="1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«___»_________20___ года №____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комиссии Грайворонского городского округа</w:t>
      </w:r>
      <w:r>
        <w:rPr>
          <w:b/>
          <w:sz w:val="28"/>
          <w:szCs w:val="28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Ягич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Николаевна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финансов и налоговой политики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sz w:val="28"/>
                <w:szCs w:val="28"/>
              </w:rPr>
              <w:t xml:space="preserve">, председатель бюджетной комиссии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финансов и налоговой политики</w:t>
            </w:r>
            <w:r>
              <w:rPr>
                <w:sz w:val="28"/>
                <w:szCs w:val="28"/>
              </w:rPr>
              <w:t xml:space="preserve"> - н</w:t>
            </w:r>
            <w:r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бюджетного отдела </w:t>
            </w:r>
            <w:r>
              <w:rPr>
                <w:sz w:val="28"/>
                <w:szCs w:val="28"/>
              </w:rPr>
              <w:t xml:space="preserve">комитета финансов и налоговой политики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округа,</w:t>
            </w:r>
            <w:r>
              <w:rPr>
                <w:sz w:val="28"/>
                <w:szCs w:val="28"/>
              </w:rPr>
              <w:t xml:space="preserve"> секретарь бюджетной комиссии</w:t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9854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бюджетной комиссии: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Адаменко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Анатольевна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главы администрации городского округа – руководитель аппарата главы администрации </w:t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Твердун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Григорьевич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главы администрации городского округа – начальник управления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строительству, транспорту, ЖКХ и ТЭК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Чепурная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Ивановна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экономического  развития администрации городского округа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Бахаев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Николаевич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капитального строительства управления по строительству, транспорту, ЖКХ и ТЭК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Безгодько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Виолетта Александровна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ачальника управления образования администрации </w:t>
            </w:r>
            <w:r>
              <w:rPr>
                <w:sz w:val="28"/>
                <w:szCs w:val="28"/>
              </w:rPr>
              <w:t xml:space="preserve">Грайворонского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Трунова</w:t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 Ивановна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культуры и молодежной политики администрации </w:t>
            </w:r>
            <w:r>
              <w:rPr>
                <w:sz w:val="28"/>
                <w:szCs w:val="28"/>
              </w:rPr>
              <w:t xml:space="preserve">Грайворонского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Сарыгин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физической культуры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спорта</w:t>
            </w:r>
            <w:r>
              <w:rPr>
                <w:sz w:val="28"/>
                <w:szCs w:val="28"/>
              </w:rPr>
              <w:t xml:space="preserve"> администрации городского округа </w:t>
            </w:r>
          </w:p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369" w:type="dxa"/>
            <w:vAlign w:val="top"/>
            <w:textDirection w:val="lrTb"/>
          </w:tcPr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Тарасун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Владимировна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67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18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5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доходов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финансов и налоговой политики</w:t>
            </w:r>
            <w:r>
              <w:rPr>
                <w:sz w:val="28"/>
                <w:szCs w:val="28"/>
              </w:rPr>
              <w:t xml:space="preserve"> администрации Грайворонского городского округа.</w:t>
            </w:r>
          </w:p>
        </w:tc>
      </w:tr>
    </w:tbl>
    <w:p>
      <w:pPr>
        <w:pStyle w:val="Normal"/>
        <w:jc w:val="both"/>
      </w:pP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Normal"/>
        <w:ind w:left="1080" w:hanging="360"/>
        <w:tabs>
          <w:tab w:val="num" w:pos="1080" w:leader="none"/>
        </w:tabs>
      </w:pPr>
    </w:lvl>
    <w:lvl w:ilvl="2">
      <w:start w:val="2"/>
      <w:numFmt w:val="decimal"/>
      <w:suff w:val="tab"/>
      <w:lvlText w:val="%3."/>
      <w:lvlJc w:val="left"/>
      <w:pPr>
        <w:pStyle w:val="Normal"/>
        <w:ind w:left="1440" w:hanging="360"/>
        <w:tabs>
          <w:tab w:val="num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1800" w:hanging="360"/>
        <w:tabs>
          <w:tab w:val="num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Normal"/>
        <w:ind w:left="2160" w:hanging="360"/>
        <w:tabs>
          <w:tab w:val="num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Normal"/>
        <w:ind w:left="2520" w:hanging="360"/>
        <w:tabs>
          <w:tab w:val="num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2880" w:hanging="360"/>
        <w:tabs>
          <w:tab w:val="num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Normal"/>
        <w:ind w:left="3240" w:hanging="360"/>
        <w:tabs>
          <w:tab w:val="num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Normal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bullet"/>
      <w:suff w:val="tab"/>
      <w:lvlText w:val="В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6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0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8"/>
      <w:numFmt w:val="decimal"/>
      <w:suff w:val="tab"/>
      <w:lvlText w:val="%2)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bullet"/>
      <w:suff w:val="tab"/>
      <w:lvlText w:val="и"/>
      <w:lvlJc w:val="left"/>
      <w:pPr>
        <w:pStyle w:val="Normal"/>
      </w:pPr>
    </w:lvl>
    <w:lvl w:ilvl="1">
      <w:start w:val="1"/>
      <w:numFmt w:val="bullet"/>
      <w:suff w:val="tab"/>
      <w:lvlText w:val="К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7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515" w:hanging="97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5" w:hanging="975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75" w:hanging="975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3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  <w:rPr>
        <w:color w:val="000000"/>
      </w:rPr>
    </w:lvl>
  </w:abstractNum>
  <w:abstractNum w:abstractNumId="2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2"/>
  </w:num>
  <w:num w:numId="6">
    <w:abstractNumId w:val="24"/>
  </w:num>
  <w:num w:numId="7">
    <w:abstractNumId w:val="25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1"/>
  </w:num>
  <w:num w:numId="21">
    <w:abstractNumId w:val="23"/>
  </w:num>
  <w:num w:numId="22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Heading3">
    <w:name w:val="Заголовок 3"/>
    <w:basedOn w:val="Normal"/>
    <w:next w:val="Heading3"/>
    <w:link w:val="UserStyle_1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ind w:left="283"/>
      <w:spacing w:lineRule="auto" w:line="480" w:after="120"/>
    </w:p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4"/>
    <w:pPr>
      <w:spacing w:after="120"/>
    </w:pPr>
  </w:style>
  <w:style w:type="paragraph" w:styleId="HtmlNormal">
    <w:name w:val="Обычный (веб)"/>
    <w:basedOn w:val="Normal"/>
    <w:next w:val="HtmlNormal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character" w:styleId="UserStyle_5">
    <w:name w:val="Основной текст с отступом Знак"/>
    <w:next w:val="UserStyle_5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5"/>
    <w:rPr>
      <w:sz w:val="24"/>
      <w:szCs w:val="24"/>
    </w:rPr>
    <w:pPr>
      <w:ind w:left="283"/>
      <w:spacing w:after="120"/>
    </w:pPr>
  </w:style>
  <w:style w:type="paragraph" w:styleId="UserStyle_6">
    <w:name w:val="List Paragraph"/>
    <w:basedOn w:val="Normal"/>
    <w:next w:val="UserStyle_6"/>
    <w:link w:val="Normal"/>
    <w:rPr>
      <w:rFonts w:eastAsia="Calibri"/>
      <w:sz w:val="24"/>
      <w:szCs w:val="24"/>
    </w:rPr>
    <w:pPr>
      <w:contextualSpacing w:val="true"/>
      <w:ind w:left="720"/>
    </w:pPr>
  </w:style>
  <w:style w:type="paragraph" w:styleId="UserStyle_7">
    <w:name w:val="ConsPlusNormal"/>
    <w:next w:val="UserStyle_7"/>
    <w:link w:val="UserStyle_8"/>
    <w:rPr>
      <w:rFonts w:ascii="Arial" w:hAnsi="Arial"/>
      <w:lang w:val="ru-RU" w:bidi="ar-SA" w:eastAsia="ru-RU"/>
    </w:rPr>
    <w:pPr>
      <w:widowControl w:val="off"/>
    </w:p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8">
    <w:name w:val="ConsPlusNormal Знак"/>
    <w:next w:val="UserStyle_8"/>
    <w:link w:val="UserStyle_7"/>
    <w:rPr>
      <w:rFonts w:ascii="Arial" w:hAnsi="Arial"/>
      <w:lang w:val="ru-RU" w:bidi="ar-SA" w:eastAsia="ru-RU"/>
    </w:rPr>
  </w:style>
  <w:style w:type="paragraph" w:styleId="UserStyle_10">
    <w:name w:val="ConsPlusTitle"/>
    <w:next w:val="UserStyle_10"/>
    <w:link w:val="Normal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BodyText2">
    <w:name w:val="Основной текст 2"/>
    <w:basedOn w:val="Normal"/>
    <w:next w:val="BodyText2"/>
    <w:link w:val="UserStyle_11"/>
    <w:rPr>
      <w:rFonts w:eastAsia="Calibri"/>
      <w:sz w:val="24"/>
      <w:szCs w:val="24"/>
    </w:rPr>
    <w:pPr>
      <w:spacing w:lineRule="auto" w:line="480" w:after="120"/>
    </w:pPr>
  </w:style>
  <w:style w:type="character" w:styleId="UserStyle_11">
    <w:name w:val="Основной текст 2 Знак"/>
    <w:next w:val="UserStyle_11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rPr>
      <w:sz w:val="24"/>
      <w:szCs w:val="24"/>
    </w:rPr>
    <w:pPr>
      <w:contextualSpacing w:val="true"/>
      <w:ind w:left="720"/>
    </w:pPr>
  </w:style>
  <w:style w:type="paragraph" w:styleId="UserStyle_12">
    <w:name w:val="western"/>
    <w:basedOn w:val="Normal"/>
    <w:next w:val="UserStyle_12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paragraph" w:styleId="UserStyle_13">
    <w:name w:val="Основной текст с отступом 21"/>
    <w:basedOn w:val="Normal"/>
    <w:next w:val="UserStyle_13"/>
    <w:link w:val="Normal"/>
    <w:rPr>
      <w:sz w:val="28"/>
      <w:lang w:eastAsia="ar-SA"/>
    </w:rPr>
    <w:pPr>
      <w:ind w:left="720" w:hanging="851"/>
      <w:jc w:val="both"/>
    </w:pPr>
  </w:style>
  <w:style w:type="character" w:styleId="UserStyle_14">
    <w:name w:val="Body text_"/>
    <w:next w:val="UserStyle_14"/>
    <w:link w:val="UserStyle_15"/>
    <w:locked/>
    <w:rPr>
      <w:sz w:val="25"/>
      <w:szCs w:val="25"/>
      <w:lang w:bidi="ar-SA"/>
    </w:rPr>
  </w:style>
  <w:style w:type="paragraph" w:styleId="UserStyle_15">
    <w:name w:val="Body text"/>
    <w:basedOn w:val="Normal"/>
    <w:next w:val="UserStyle_15"/>
    <w:link w:val="UserStyle_14"/>
    <w:rPr>
      <w:sz w:val="25"/>
      <w:szCs w:val="25"/>
      <w:lang w:val="en-US" w:eastAsia="en-US"/>
    </w:rPr>
    <w:pPr>
      <w:jc w:val="both"/>
      <w:spacing w:lineRule="exact" w:line="322"/>
      <w:shd w:val="clear" w:fill="FFFFFF" w:color="FFFFFF"/>
    </w:pPr>
  </w:style>
  <w:style w:type="paragraph" w:styleId="Title">
    <w:name w:val="Название"/>
    <w:basedOn w:val="Normal"/>
    <w:next w:val="Title"/>
    <w:link w:val="UserStyle_16"/>
    <w:rPr>
      <w:b/>
      <w:bCs/>
      <w:sz w:val="40"/>
      <w:lang w:val="en-US" w:eastAsia="en-US"/>
    </w:rPr>
    <w:pPr>
      <w:jc w:val="center"/>
      <w:tabs>
        <w:tab w:val="left" w:pos="2280" w:leader="none"/>
      </w:tabs>
    </w:pPr>
  </w:style>
  <w:style w:type="character" w:styleId="UserStyle_17">
    <w:name w:val="Font Style11"/>
    <w:next w:val="UserStyle_17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rPr>
      <w:sz w:val="16"/>
      <w:szCs w:val="16"/>
    </w:rPr>
    <w:pPr>
      <w:spacing w:after="120"/>
    </w:pPr>
  </w:style>
  <w:style w:type="paragraph" w:styleId="UserStyle_18">
    <w:name w:val="ConsPlusNonformat"/>
    <w:next w:val="UserStyle_18"/>
    <w:link w:val="Normal"/>
    <w:rPr>
      <w:rFonts w:ascii="Courier New" w:hAnsi="Courier New" w:eastAsia="Calibri"/>
      <w:lang w:val="ru-RU" w:bidi="ar-SA" w:eastAsia="ru-RU"/>
    </w:rPr>
    <w:pPr>
      <w:widowControl w:val="off"/>
    </w:pPr>
  </w:style>
  <w:style w:type="character" w:styleId="UserStyle_16">
    <w:name w:val="Название Знак"/>
    <w:next w:val="UserStyle_16"/>
    <w:link w:val="Title"/>
    <w:rPr>
      <w:b/>
      <w:bCs/>
      <w:sz w:val="40"/>
    </w:rPr>
  </w:style>
  <w:style w:type="character" w:styleId="UserStyle_19">
    <w:name w:val="Основной текст_"/>
    <w:next w:val="UserStyle_19"/>
    <w:link w:val="UserStyle_20"/>
    <w:locked/>
    <w:rPr>
      <w:shd w:val="clear" w:fill="FFFFFF" w:color="FFFFFF"/>
    </w:rPr>
  </w:style>
  <w:style w:type="paragraph" w:styleId="UserStyle_20">
    <w:name w:val="Основной текст1"/>
    <w:basedOn w:val="Normal"/>
    <w:next w:val="UserStyle_20"/>
    <w:link w:val="UserStyle_19"/>
    <w:rPr>
      <w:lang w:val="en-US" w:eastAsia="en-US"/>
    </w:rPr>
    <w:pPr>
      <w:ind w:firstLine="400"/>
      <w:shd w:val="clear" w:fill="FFFFFF" w:color="FFFFFF"/>
      <w:widowControl w:val="off"/>
    </w:pPr>
  </w:style>
  <w:style w:type="character" w:styleId="UserStyle_4">
    <w:name w:val="Основной текст Знак"/>
    <w:next w:val="UserStyle_4"/>
    <w:link w:val="BodyText"/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2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22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23">
    <w:name w:val="fontstyle01"/>
    <w:basedOn w:val="NormalCharacter"/>
    <w:next w:val="UserStyle_23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4">
    <w:name w:val="Основной текст 21"/>
    <w:basedOn w:val="Normal"/>
    <w:next w:val="UserStyle_24"/>
    <w:link w:val="Normal"/>
    <w:rPr>
      <w:rFonts w:ascii="Calibri" w:hAnsi="Calibri" w:eastAsia="Calibri"/>
      <w:sz w:val="22"/>
      <w:szCs w:val="22"/>
      <w:lang w:bidi="hi-IN" w:eastAsia="hi-IN"/>
    </w:rPr>
    <w:pPr>
      <w:ind w:left="567" w:firstLine="567"/>
      <w:jc w:val="both"/>
      <w:spacing w:lineRule="auto" w:line="480" w:after="120"/>
      <w:widowControl w:val="off"/>
    </w:pPr>
  </w:style>
  <w:style w:type="character" w:styleId="UserStyle_25">
    <w:name w:val="Основной текст (4)"/>
    <w:next w:val="UserStyle_25"/>
    <w:link w:val="Normal"/>
    <w:rPr>
      <w:b/>
      <w:bCs/>
      <w:sz w:val="26"/>
      <w:szCs w:val="26"/>
      <w:lang w:bidi="ar-SA"/>
    </w:rPr>
  </w:style>
  <w:style w:type="character" w:styleId="UserStyle_26">
    <w:name w:val="Основной текст (2)_"/>
    <w:basedOn w:val="NormalCharacter"/>
    <w:next w:val="UserStyle_26"/>
    <w:link w:val="UserStyle_27"/>
    <w:locked/>
    <w:rPr>
      <w:b/>
      <w:bCs/>
      <w:sz w:val="25"/>
      <w:szCs w:val="25"/>
      <w:shd w:val="clear" w:fill="FFFFFF" w:color="FFFFFF"/>
    </w:rPr>
  </w:style>
  <w:style w:type="paragraph" w:styleId="UserStyle_27">
    <w:name w:val="Основной текст (2)"/>
    <w:basedOn w:val="Normal"/>
    <w:next w:val="UserStyle_27"/>
    <w:link w:val="UserStyle_26"/>
    <w:rPr>
      <w:b/>
      <w:bCs/>
      <w:sz w:val="25"/>
      <w:szCs w:val="25"/>
    </w:rPr>
    <w:pPr>
      <w:jc w:val="center"/>
      <w:spacing w:lineRule="atLeast" w:line="240" w:after="360" w:before="240"/>
      <w:shd w:val="clear" w:fill="FFFFFF" w:color="FFFFFF"/>
    </w:pPr>
  </w:style>
  <w:style w:type="paragraph" w:styleId="UserStyle_28">
    <w:name w:val="Обычный + По ширине"/>
    <w:basedOn w:val="Normal"/>
    <w:next w:val="UserStyle_28"/>
    <w:link w:val="Normal"/>
    <w:rPr>
      <w:sz w:val="28"/>
      <w:szCs w:val="24"/>
    </w:rPr>
    <w:pPr>
      <w:jc w:val="both"/>
    </w:p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  <w:style w:type="character" w:styleId="UserStyle_29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NormalCharacter"/>
    <w:next w:val="UserStyle_29"/>
    <w:link w:val="Normal"/>
  </w:style>
  <w:style w:type="paragraph" w:styleId="User">
    <w:name w:val="Без интервала"/>
    <w:next w:val="User"/>
    <w:link w:val="UserStyle_30"/>
    <w:rPr>
      <w:rFonts w:ascii="Calibri" w:hAnsi="Calibri" w:eastAsia="Calibri"/>
      <w:sz w:val="22"/>
      <w:szCs w:val="22"/>
      <w:lang w:bidi="ar-SA" w:eastAsia="en-US"/>
    </w:rPr>
  </w:style>
  <w:style w:type="character" w:styleId="UserStyle_2">
    <w:name w:val="Верхний колонтитул Знак"/>
    <w:basedOn w:val="NormalCharacter"/>
    <w:next w:val="UserStyle_2"/>
    <w:link w:val="Header"/>
  </w:style>
  <w:style w:type="character" w:styleId="UserStyle_1">
    <w:name w:val="Заголовок 3 Знак"/>
    <w:basedOn w:val="NormalCharacter"/>
    <w:next w:val="UserStyle_1"/>
    <w:link w:val="Heading3"/>
    <w:rPr>
      <w:b/>
      <w:bCs/>
      <w:sz w:val="27"/>
      <w:szCs w:val="27"/>
    </w:rPr>
  </w:style>
  <w:style w:type="character" w:styleId="UserStyle_3">
    <w:name w:val="Текст выноски Знак"/>
    <w:basedOn w:val="NormalCharacter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31">
    <w:name w:val="page_text"/>
    <w:basedOn w:val="Normal"/>
    <w:next w:val="UserStyle_3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32">
    <w:name w:val="Paragraph Style"/>
    <w:next w:val="UserStyle_32"/>
    <w:link w:val="Normal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UserStyle_33">
    <w:name w:val="u"/>
    <w:basedOn w:val="Normal"/>
    <w:next w:val="UserStyle_33"/>
    <w:link w:val="Normal"/>
    <w:rPr>
      <w:sz w:val="24"/>
      <w:szCs w:val="24"/>
    </w:rPr>
    <w:pPr>
      <w:spacing w:after="100" w:afterAutospacing="1" w:before="100" w:beforeAutospacing="1"/>
    </w:pPr>
  </w:style>
  <w:style w:type="paragraph" w:styleId="UserStyle_34">
    <w:name w:val="ConsNormal"/>
    <w:next w:val="UserStyle_34"/>
    <w:link w:val="Normal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UserStyle_35">
    <w:name w:val="grame"/>
    <w:basedOn w:val="NormalCharacter"/>
    <w:next w:val="UserStyle_35"/>
    <w:link w:val="Normal"/>
  </w:style>
  <w:style w:type="paragraph" w:styleId="PlainText">
    <w:name w:val="Текст"/>
    <w:basedOn w:val="Normal"/>
    <w:next w:val="PlainText"/>
    <w:link w:val="UserStyle_36"/>
    <w:rPr>
      <w:rFonts w:ascii="Courier New" w:hAnsi="Courier New"/>
      <w:b/>
      <w:color w:val="000000"/>
    </w:rPr>
  </w:style>
  <w:style w:type="character" w:styleId="UserStyle_36">
    <w:name w:val="Текст Знак"/>
    <w:basedOn w:val="NormalCharacter"/>
    <w:next w:val="UserStyle_36"/>
    <w:link w:val="PlainText"/>
    <w:rPr>
      <w:rFonts w:ascii="Courier New" w:hAnsi="Courier New"/>
      <w:b/>
      <w:color w:val="000000"/>
    </w:rPr>
  </w:style>
  <w:style w:type="paragraph" w:styleId="HtmlPre">
    <w:name w:val="Стандартный HTML"/>
    <w:basedOn w:val="Normal"/>
    <w:next w:val="HtmlPre"/>
    <w:link w:val="UserStyle_37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UserStyle_37">
    <w:name w:val="Стандартный HTML Знак"/>
    <w:basedOn w:val="NormalCharacter"/>
    <w:next w:val="UserStyle_37"/>
    <w:link w:val="HtmlPre"/>
    <w:rPr>
      <w:rFonts w:ascii="Courier New" w:hAnsi="Courier New"/>
    </w:rPr>
  </w:style>
  <w:style w:type="paragraph" w:styleId="UserStyle_38">
    <w:name w:val="Table Paragraph"/>
    <w:basedOn w:val="Normal"/>
    <w:next w:val="UserStyle_38"/>
    <w:link w:val="Normal"/>
    <w:rPr>
      <w:sz w:val="24"/>
      <w:szCs w:val="24"/>
    </w:rPr>
    <w:pPr>
      <w:widowControl w:val="off"/>
    </w:pPr>
  </w:style>
  <w:style w:type="character" w:styleId="UserStyle_39">
    <w:name w:val="Заголовок №3_"/>
    <w:basedOn w:val="NormalCharacter"/>
    <w:next w:val="UserStyle_39"/>
    <w:link w:val="UserStyle_40"/>
    <w:rPr>
      <w:b/>
      <w:bCs/>
      <w:sz w:val="22"/>
      <w:szCs w:val="22"/>
      <w:shd w:val="clear" w:fill="FFFFFF" w:color="FFFFFF"/>
    </w:rPr>
  </w:style>
  <w:style w:type="paragraph" w:styleId="UserStyle_41">
    <w:name w:val="Основной текст4"/>
    <w:basedOn w:val="Normal"/>
    <w:next w:val="UserStyle_41"/>
    <w:link w:val="Normal"/>
    <w:rPr>
      <w:color w:val="000000"/>
      <w:sz w:val="22"/>
      <w:szCs w:val="22"/>
    </w:rPr>
    <w:pPr>
      <w:jc w:val="center"/>
      <w:spacing w:lineRule="exact" w:line="283" w:before="360"/>
      <w:shd w:val="clear" w:fill="FFFFFF" w:color="FFFFFF"/>
      <w:widowControl w:val="off"/>
    </w:pPr>
  </w:style>
  <w:style w:type="paragraph" w:styleId="UserStyle_40">
    <w:name w:val="Заголовок №3"/>
    <w:basedOn w:val="Normal"/>
    <w:next w:val="UserStyle_40"/>
    <w:link w:val="UserStyle_39"/>
    <w:rPr>
      <w:b/>
      <w:bCs/>
      <w:sz w:val="22"/>
      <w:szCs w:val="22"/>
    </w:rPr>
    <w:pPr>
      <w:ind w:hanging="1940"/>
      <w:jc w:val="both"/>
      <w:spacing w:lineRule="atLeast" w:line="0" w:after="300"/>
      <w:shd w:val="clear" w:fill="FFFFFF" w:color="FFFFFF"/>
      <w:widowControl w:val="off"/>
      <w:outlineLvl w:val="2"/>
    </w:pPr>
  </w:style>
  <w:style w:type="paragraph" w:styleId="UserStyle_42">
    <w:name w:val="p16"/>
    <w:basedOn w:val="Normal"/>
    <w:next w:val="UserStyle_4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3">
    <w:name w:val="p12"/>
    <w:basedOn w:val="Normal"/>
    <w:next w:val="UserStyle_4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4">
    <w:name w:val="p13"/>
    <w:basedOn w:val="Normal"/>
    <w:next w:val="UserStyle_4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5">
    <w:name w:val="p17"/>
    <w:basedOn w:val="Normal"/>
    <w:next w:val="UserStyle_4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6">
    <w:name w:val="p19"/>
    <w:basedOn w:val="Normal"/>
    <w:next w:val="UserStyle_4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7">
    <w:name w:val="p20"/>
    <w:basedOn w:val="Normal"/>
    <w:next w:val="UserStyle_47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48">
    <w:name w:val="s1"/>
    <w:next w:val="UserStyle_48"/>
    <w:link w:val="Normal"/>
  </w:style>
  <w:style w:type="character" w:styleId="UserStyle_49">
    <w:name w:val="s3"/>
    <w:next w:val="UserStyle_49"/>
    <w:link w:val="Normal"/>
  </w:style>
  <w:style w:type="character" w:styleId="UserStyle_50">
    <w:name w:val="apple-converted-space"/>
    <w:next w:val="UserStyle_50"/>
    <w:link w:val="Normal"/>
  </w:style>
  <w:style w:type="paragraph" w:styleId="UserStyle_51">
    <w:name w:val="p15"/>
    <w:basedOn w:val="Normal"/>
    <w:next w:val="UserStyle_5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2">
    <w:name w:val="s4"/>
    <w:next w:val="UserStyle_52"/>
    <w:link w:val="Normal"/>
  </w:style>
  <w:style w:type="paragraph" w:styleId="UserStyle_53">
    <w:name w:val="p18"/>
    <w:basedOn w:val="Normal"/>
    <w:next w:val="UserStyle_5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4">
    <w:name w:val="p23"/>
    <w:basedOn w:val="Normal"/>
    <w:next w:val="UserStyle_5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5">
    <w:name w:val="p25"/>
    <w:basedOn w:val="Normal"/>
    <w:next w:val="UserStyle_5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6">
    <w:name w:val="p26"/>
    <w:basedOn w:val="Normal"/>
    <w:next w:val="UserStyle_5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7">
    <w:name w:val="s6"/>
    <w:next w:val="UserStyle_57"/>
    <w:link w:val="Normal"/>
  </w:style>
  <w:style w:type="character" w:styleId="UserStyle_58">
    <w:name w:val="s7"/>
    <w:next w:val="UserStyle_58"/>
    <w:link w:val="Normal"/>
  </w:style>
  <w:style w:type="paragraph" w:styleId="UserStyle_59">
    <w:name w:val="p27"/>
    <w:basedOn w:val="Normal"/>
    <w:next w:val="UserStyle_59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60">
    <w:name w:val="s8"/>
    <w:next w:val="UserStyle_60"/>
    <w:link w:val="Normal"/>
  </w:style>
  <w:style w:type="paragraph" w:styleId="UserStyle_61">
    <w:name w:val="p28"/>
    <w:basedOn w:val="Normal"/>
    <w:next w:val="UserStyle_6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2">
    <w:name w:val="p29"/>
    <w:basedOn w:val="Normal"/>
    <w:next w:val="UserStyle_6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3">
    <w:name w:val="p30"/>
    <w:basedOn w:val="Normal"/>
    <w:next w:val="UserStyle_6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30">
    <w:name w:val="Без интервала Знак"/>
    <w:next w:val="UserStyle_30"/>
    <w:link w:val="User"/>
    <w:locked/>
    <w:rPr>
      <w:rFonts w:ascii="Calibri" w:hAnsi="Calibri" w:eastAsia="Calibri"/>
      <w:sz w:val="22"/>
      <w:szCs w:val="22"/>
      <w:lang w:bidi="ar-SA" w:eastAsia="en-US"/>
    </w:rPr>
  </w:style>
  <w:style w:type="paragraph" w:styleId="UserStyle_64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Normal"/>
    <w:next w:val="UserStyle_64"/>
    <w:link w:val="Normal"/>
    <w:rPr>
      <w:sz w:val="24"/>
      <w:szCs w:val="24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