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230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Грайворонского городского округа</w:t>
            </w:r>
          </w:p>
          <w:p>
            <w:pPr>
              <w:pStyle w:val="Normal"/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от 03 июня 2024 года №238</w:t>
            </w:r>
            <w:r>
              <w:rPr>
                <w:b/>
                <w:sz w:val="28"/>
              </w:rPr>
            </w:r>
          </w:p>
        </w:tc>
      </w:tr>
    </w:tbl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Грайворонского муниципального округа Белгородской области в соответствие с действующим законодательством </w:t>
      </w:r>
      <w:r>
        <w:rPr>
          <w:rFonts w:ascii="Times New Roman" w:hAnsi="Times New Roman"/>
          <w:b/>
          <w:spacing w:val="40"/>
          <w:sz w:val="28"/>
          <w:szCs w:val="28"/>
        </w:rPr>
        <w:t xml:space="preserve">постановля</w:t>
      </w:r>
      <w:r>
        <w:rPr>
          <w:rFonts w:ascii="Times New Roman" w:hAnsi="Times New Roman"/>
          <w:b/>
          <w:sz w:val="28"/>
          <w:szCs w:val="28"/>
        </w:rPr>
        <w:t xml:space="preserve">ю: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  <w:tab/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Грайворонского городского округа от 03 июня 2024 года №238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аннулирование такого адреса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постановления слова «городского округа» заменить словами «муниципального округа»;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4 постановления слова «городского округа» заменить словами «муниципального округа»;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</w:t>
      </w:r>
      <w:r>
        <w:rPr>
          <w:rFonts w:ascii="Times New Roman" w:hAnsi="Times New Roman"/>
          <w:spacing w:val="2"/>
          <w:sz w:val="28"/>
          <w:szCs w:val="28"/>
        </w:rPr>
        <w:t xml:space="preserve">дминистративном регламенте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Присвоение адреса объекту адресации, изменение и аннулирование такого адреса</w:t>
      </w:r>
      <w:r>
        <w:rPr>
          <w:rFonts w:ascii="Times New Roman" w:hAnsi="Times New Roman"/>
          <w:sz w:val="28"/>
          <w:szCs w:val="28"/>
        </w:rPr>
        <w:t xml:space="preserve">», утвержденном</w:t>
      </w:r>
      <w:r>
        <w:rPr>
          <w:rFonts w:ascii="Times New Roman" w:hAnsi="Times New Roman"/>
          <w:sz w:val="28"/>
          <w:szCs w:val="28"/>
        </w:rPr>
        <w:t xml:space="preserve"> в пункте 1 вышеназванного постановления (далее – административный регламент):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  <w:tab/>
      </w:r>
      <w:r>
        <w:rPr>
          <w:rFonts w:ascii="Times New Roman" w:hAnsi="Times New Roman"/>
          <w:sz w:val="28"/>
          <w:szCs w:val="28"/>
        </w:rPr>
        <w:t xml:space="preserve">в подразделе 1.1 раздела 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пункте 2.2.1 подраздела 2.2 раздела 2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pacing w:val="2"/>
          <w:sz w:val="28"/>
          <w:szCs w:val="28"/>
        </w:rPr>
        <w:t xml:space="preserve">через структурное подразделение – управление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по строительству, транспорту, ЖКХ и ТЭК администрации Грайворонского городского округа</w:t>
      </w:r>
      <w:r>
        <w:rPr>
          <w:rFonts w:ascii="Times New Roman" w:hAnsi="Times New Roman"/>
          <w:spacing w:val="2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/>
          <w:spacing w:val="2"/>
          <w:sz w:val="28"/>
          <w:szCs w:val="28"/>
        </w:rPr>
        <w:t xml:space="preserve">через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pacing w:val="2"/>
          <w:sz w:val="28"/>
          <w:szCs w:val="28"/>
        </w:rPr>
        <w:t xml:space="preserve">управление по строительству, транспорту, </w:t>
      </w:r>
      <w:r>
        <w:rPr>
          <w:rFonts w:ascii="Times New Roman" w:hAnsi="Times New Roman"/>
          <w:spacing w:val="2"/>
          <w:sz w:val="28"/>
          <w:szCs w:val="28"/>
        </w:rPr>
        <w:t xml:space="preserve">жилищно-коммунальному хозяйству</w:t>
      </w:r>
      <w:r>
        <w:rPr>
          <w:rFonts w:ascii="Times New Roman" w:hAnsi="Times New Roman"/>
          <w:spacing w:val="2"/>
          <w:sz w:val="28"/>
          <w:szCs w:val="28"/>
        </w:rPr>
        <w:t xml:space="preserve"> и ТЭК </w:t>
      </w:r>
      <w:r>
        <w:rPr>
          <w:rFonts w:ascii="Times New Roman" w:hAnsi="Times New Roman"/>
          <w:sz w:val="28"/>
          <w:szCs w:val="28"/>
        </w:rPr>
        <w:t xml:space="preserve">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Грайворонского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подразделе 2.3 раздела 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абзац второй пункта 2.5.1 подраздела 2.5 раздела 2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«объекту адресации</w:t>
      </w:r>
      <w:r>
        <w:rPr>
          <w:rFonts w:ascii="Times New Roman" w:hAnsi="Times New Roman"/>
          <w:sz w:val="28"/>
          <w:szCs w:val="28"/>
        </w:rPr>
        <w:t xml:space="preserve">» дополнить словами «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с приложением выписки из государственного адресного реестра </w:t>
      </w:r>
      <w:r>
        <w:rPr>
          <w:rFonts w:ascii="Times New Roman" w:hAnsi="Times New Roman"/>
          <w:sz w:val="28"/>
          <w:szCs w:val="28"/>
          <w:shd w:val="clear" w:fill="FFFFFF" w:color="FFFFFF"/>
        </w:rPr>
        <w:br/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об адресе объекта адресации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абзац третий пункта 2.5.1 подраздела 2.5 раздела 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после слов «объекту адресации» дополнить словами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с приложением уведомления об отсутствии сведений об адресе объекта адресации в государственном адресном реестре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абзац второй пункта 2.5.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подраздела 2.5 раздела 2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«объекту адресации» дополнить словами «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с приложением выписки из государственного адресного реестра </w:t>
      </w:r>
      <w:r>
        <w:rPr>
          <w:rFonts w:ascii="Times New Roman" w:hAnsi="Times New Roman"/>
          <w:sz w:val="28"/>
          <w:szCs w:val="28"/>
          <w:shd w:val="clear" w:fill="FFFFFF" w:color="FFFFFF"/>
        </w:rPr>
        <w:br/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об адресе объекта адресации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абзац третий пункта 2.5.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подраздела 2.5 раздела 2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«объекту адресации» дополнить словами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с приложением уведомления об отсутствии сведений об адресе объекта адресации в государственном адресном реестре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абзац второй пункта 2.5.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подраздела 2.5 раздела 2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«объекту адресации» дополнить словами «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с приложением выписки из государственного адресного реестра </w:t>
      </w:r>
      <w:r>
        <w:rPr>
          <w:rFonts w:ascii="Times New Roman" w:hAnsi="Times New Roman"/>
          <w:sz w:val="28"/>
          <w:szCs w:val="28"/>
          <w:shd w:val="clear" w:fill="FFFFFF" w:color="FFFFFF"/>
        </w:rPr>
        <w:br/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об 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исправленном 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адресе объекта адресации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абзаце третьем пункта 2.6.9 подраздела 2.6 раздела 2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абзаце шестом подпункта 3.3.3.3 пункта 3.3.3 подраздела 3.3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раздела 3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округа</w:t>
      </w:r>
      <w:r>
        <w:rPr>
          <w:rFonts w:ascii="Times New Roman" w:hAnsi="Times New Roman"/>
          <w:spacing w:val="2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подпункте 3.3.3.6 пункта 3.3.3 подраздела 3.3 раздела 3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Уполномоченного органа» заменить словами «</w:t>
      </w:r>
      <w:r>
        <w:rPr>
          <w:rFonts w:ascii="Times New Roman" w:hAnsi="Times New Roman"/>
          <w:sz w:val="28"/>
          <w:szCs w:val="28"/>
        </w:rPr>
        <w:t xml:space="preserve">, ответственный за работу в ФИАС,»;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абзаце шестом подпункта 3.4.3.3 пункта 3.4.3 подраздела 3.4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раздела 3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округа</w:t>
      </w:r>
      <w:r>
        <w:rPr>
          <w:rFonts w:ascii="Times New Roman" w:hAnsi="Times New Roman"/>
          <w:spacing w:val="2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подпункте 3.4.3.6 пункта 3.4.3 подраздела 3.4 раздела 3 слова «</w:t>
      </w:r>
      <w:r>
        <w:rPr>
          <w:rFonts w:ascii="Times New Roman" w:hAnsi="Times New Roman"/>
          <w:spacing w:val="2"/>
          <w:sz w:val="28"/>
          <w:szCs w:val="28"/>
        </w:rPr>
        <w:t xml:space="preserve">Уполномоченного органа» заменить словами «</w:t>
      </w:r>
      <w:r>
        <w:rPr>
          <w:rFonts w:ascii="Times New Roman" w:hAnsi="Times New Roman"/>
          <w:sz w:val="28"/>
          <w:szCs w:val="28"/>
        </w:rPr>
        <w:t xml:space="preserve">, ответственный за работу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ФИАС,»;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абзаце первом приложения №4 к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пункте 1 приложения №4 к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пункте 2 приложения №4 к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пункте 3 приложения №4 к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Белгородской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пункте 4 приложения №4 к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Белгородской области».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  <w:tab/>
        <w:t xml:space="preserve">Опубликовать настоящее постановление в газете «Родной край»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                   сетевом издании «Родной край 31» (rodkray31.ru), разместить на официальном сайте органов местного самоуправления Грайворонского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</w:p>
    <w:p>
      <w:pPr>
        <w:pStyle w:val="Normal"/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– начальника управления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строительству, транспорту, ЖКХ и ТЭК Р.Г. Твердуна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26" w:type="dxa"/>
            <w:vAlign w:val="top"/>
            <w:textDirection w:val="lrTb"/>
          </w:tcPr>
          <w:p>
            <w:pPr>
              <w:pStyle w:val="Normal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80" w:type="dxa"/>
            <w:vAlign w:val="top"/>
            <w:textDirection w:val="lrTb"/>
          </w:tcPr>
          <w:p>
            <w:pPr>
              <w:pStyle w:val="Normal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</w:p>
        </w:tc>
      </w:tr>
    </w:tbl>
    <w:p>
      <w:pPr>
        <w:pStyle w:val="Normal"/>
        <w:spacing w:lineRule="auto" w:line="216" w:after="10" w:before="1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top="1135" w:right="567" w:bottom="993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  <w:rPr>
        <w:b w:val="false"/>
      </w:rPr>
    </w:lvl>
    <w:lvl w:ilvl="1">
      <w:start w:val="1"/>
      <w:numFmt w:val="decimal"/>
      <w:suff w:val="tab"/>
      <w:lvlText w:val="%2."/>
      <w:lvlJc w:val="left"/>
      <w:pPr>
        <w:pStyle w:val="Normal"/>
        <w:ind w:left="1080" w:hanging="360"/>
        <w:tabs>
          <w:tab w:val="num" w:pos="1080" w:leader="none"/>
        </w:tabs>
      </w:pPr>
    </w:lvl>
    <w:lvl w:ilvl="2">
      <w:start w:val="2"/>
      <w:numFmt w:val="decimal"/>
      <w:suff w:val="tab"/>
      <w:lvlText w:val="%3."/>
      <w:lvlJc w:val="left"/>
      <w:pPr>
        <w:pStyle w:val="Normal"/>
        <w:ind w:left="1440" w:hanging="360"/>
        <w:tabs>
          <w:tab w:val="num" w:pos="144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1800" w:hanging="360"/>
        <w:tabs>
          <w:tab w:val="num" w:pos="1800" w:leader="none"/>
        </w:tabs>
      </w:pPr>
    </w:lvl>
    <w:lvl w:ilvl="4">
      <w:start w:val="1"/>
      <w:numFmt w:val="decimal"/>
      <w:suff w:val="tab"/>
      <w:lvlText w:val="%5."/>
      <w:lvlJc w:val="left"/>
      <w:pPr>
        <w:pStyle w:val="Normal"/>
        <w:ind w:left="2160" w:hanging="360"/>
        <w:tabs>
          <w:tab w:val="num" w:pos="2160" w:leader="none"/>
        </w:tabs>
      </w:pPr>
    </w:lvl>
    <w:lvl w:ilvl="5">
      <w:start w:val="1"/>
      <w:numFmt w:val="decimal"/>
      <w:suff w:val="tab"/>
      <w:lvlText w:val="%6."/>
      <w:lvlJc w:val="left"/>
      <w:pPr>
        <w:pStyle w:val="Normal"/>
        <w:ind w:left="2520" w:hanging="360"/>
        <w:tabs>
          <w:tab w:val="num" w:pos="25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2880" w:hanging="360"/>
        <w:tabs>
          <w:tab w:val="num" w:pos="2880" w:leader="none"/>
        </w:tabs>
      </w:pPr>
    </w:lvl>
    <w:lvl w:ilvl="7">
      <w:start w:val="1"/>
      <w:numFmt w:val="decimal"/>
      <w:suff w:val="tab"/>
      <w:lvlText w:val="%8."/>
      <w:lvlJc w:val="left"/>
      <w:pPr>
        <w:pStyle w:val="Normal"/>
        <w:ind w:left="3240" w:hanging="360"/>
        <w:tabs>
          <w:tab w:val="num" w:pos="3240" w:leader="none"/>
        </w:tabs>
      </w:pPr>
    </w:lvl>
    <w:lvl w:ilvl="8">
      <w:start w:val="1"/>
      <w:numFmt w:val="decimal"/>
      <w:suff w:val="tab"/>
      <w:lvlText w:val="%9."/>
      <w:lvlJc w:val="left"/>
      <w:pPr>
        <w:pStyle w:val="Normal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bullet"/>
      <w:suff w:val="tab"/>
      <w:lvlText w:val="В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6">
    <w:multiLevelType w:val="hybridMultilevel"/>
    <w:lvl w:ilvl="0">
      <w:start w:val="3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7">
    <w:multiLevelType w:val="hybridMultilevel"/>
    <w:lvl w:ilvl="0">
      <w:start w:val="6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8">
    <w:multiLevelType w:val="hybridMultilevel"/>
    <w:lvl w:ilvl="0">
      <w:start w:val="10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9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2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8"/>
      <w:numFmt w:val="decimal"/>
      <w:suff w:val="tab"/>
      <w:lvlText w:val="%2)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4">
    <w:multiLevelType w:val="hybridMultilevel"/>
    <w:lvl w:ilvl="0">
      <w:start w:val="1"/>
      <w:numFmt w:val="bullet"/>
      <w:suff w:val="tab"/>
      <w:lvlText w:val="и"/>
      <w:lvlJc w:val="left"/>
      <w:pPr>
        <w:pStyle w:val="Normal"/>
      </w:pPr>
    </w:lvl>
    <w:lvl w:ilvl="1">
      <w:start w:val="1"/>
      <w:numFmt w:val="bullet"/>
      <w:suff w:val="tab"/>
      <w:lvlText w:val="К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6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7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7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  <w:tabs>
          <w:tab w:val="num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  <w:tabs>
          <w:tab w:val="num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  <w:tabs>
          <w:tab w:val="num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  <w:tabs>
          <w:tab w:val="num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  <w:tabs>
          <w:tab w:val="num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  <w:tabs>
          <w:tab w:val="num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  <w:tabs>
          <w:tab w:val="num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50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9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5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64" w:hanging="180"/>
      </w:pPr>
    </w:lvl>
  </w:abstractNum>
  <w:abstractNum w:abstractNumId="22">
    <w:multiLevelType w:val="hybridMultilevel"/>
    <w:lvl w:ilvl="0">
      <w:start w:val="8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08" w:hanging="114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515" w:hanging="97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695" w:hanging="975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75" w:hanging="975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340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060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  <w:rPr>
        <w:color w:val="000000"/>
      </w:rPr>
    </w:lvl>
  </w:abstractNum>
  <w:abstractNum w:abstractNumId="2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24"/>
  </w:num>
  <w:num w:numId="6">
    <w:abstractNumId w:val="26"/>
  </w:num>
  <w:num w:numId="7">
    <w:abstractNumId w:val="27"/>
  </w:num>
  <w:num w:numId="8">
    <w:abstractNumId w:val="17"/>
  </w:num>
  <w:num w:numId="9">
    <w:abstractNumId w:val="5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3"/>
  </w:num>
  <w:num w:numId="18">
    <w:abstractNumId w:val="12"/>
  </w:num>
  <w:num w:numId="19">
    <w:abstractNumId w:val="10"/>
  </w:num>
  <w:num w:numId="20">
    <w:abstractNumId w:val="11"/>
  </w:num>
  <w:num w:numId="21">
    <w:abstractNumId w:val="25"/>
  </w:num>
  <w:num w:numId="22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7">
    <w:abstractNumId w:val="20"/>
  </w:num>
  <w:num w:numId="28">
    <w:abstractNumId w:val="22"/>
  </w:num>
  <w:num w:numId="29">
    <w:abstractNumId w:val="18"/>
  </w:num>
  <w:num w:numId="30">
    <w:abstractNumId w:val="23"/>
  </w:num>
  <w:num w:numId="31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Heading1"/>
    <w:link w:val="UserStyle_0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Heading3">
    <w:name w:val="Заголовок 3"/>
    <w:basedOn w:val="Normal"/>
    <w:next w:val="Heading3"/>
    <w:link w:val="UserStyle_1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ind w:left="283"/>
      <w:spacing w:lineRule="auto" w:line="480" w:after="120"/>
    </w:p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4"/>
    <w:pPr>
      <w:spacing w:after="120"/>
    </w:pPr>
  </w:style>
  <w:style w:type="paragraph" w:styleId="HtmlNormal">
    <w:name w:val="Обычный (веб)"/>
    <w:basedOn w:val="Normal"/>
    <w:next w:val="HtmlNormal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character" w:styleId="UserStyle_5">
    <w:name w:val="Основной текст с отступом Знак"/>
    <w:next w:val="UserStyle_5"/>
    <w:link w:val="BodyTextIndent"/>
    <w:locked/>
    <w:rPr>
      <w:sz w:val="24"/>
      <w:szCs w:val="24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5"/>
    <w:rPr>
      <w:sz w:val="24"/>
      <w:szCs w:val="24"/>
    </w:rPr>
    <w:pPr>
      <w:ind w:left="283"/>
      <w:spacing w:after="120"/>
    </w:pPr>
  </w:style>
  <w:style w:type="paragraph" w:styleId="UserStyle_6">
    <w:name w:val="List Paragraph"/>
    <w:basedOn w:val="Normal"/>
    <w:next w:val="UserStyle_6"/>
    <w:link w:val="Normal"/>
    <w:rPr>
      <w:rFonts w:eastAsia="Calibri"/>
      <w:sz w:val="24"/>
      <w:szCs w:val="24"/>
    </w:rPr>
    <w:pPr>
      <w:contextualSpacing w:val="true"/>
      <w:ind w:left="720"/>
    </w:pPr>
  </w:style>
  <w:style w:type="paragraph" w:styleId="UserStyle_7">
    <w:name w:val="ConsPlusNormal"/>
    <w:next w:val="UserStyle_7"/>
    <w:link w:val="UserStyle_8"/>
    <w:rPr>
      <w:rFonts w:ascii="Arial" w:hAnsi="Arial"/>
      <w:lang w:val="ru-RU" w:bidi="ar-SA" w:eastAsia="ru-RU"/>
    </w:rPr>
    <w:pPr>
      <w:widowControl w:val="off"/>
    </w:p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8">
    <w:name w:val="ConsPlusNormal Знак"/>
    <w:next w:val="UserStyle_8"/>
    <w:link w:val="UserStyle_7"/>
    <w:rPr>
      <w:rFonts w:ascii="Arial" w:hAnsi="Arial"/>
      <w:lang w:val="ru-RU" w:bidi="ar-SA" w:eastAsia="ru-RU"/>
    </w:rPr>
  </w:style>
  <w:style w:type="paragraph" w:styleId="UserStyle_10">
    <w:name w:val="ConsPlusTitle"/>
    <w:next w:val="UserStyle_10"/>
    <w:link w:val="Normal"/>
    <w:rPr>
      <w:rFonts w:ascii="Arial" w:hAnsi="Arial"/>
      <w:b/>
      <w:bCs/>
      <w:lang w:val="ru-RU" w:bidi="ar-SA" w:eastAsia="ru-RU"/>
    </w:rPr>
    <w:pPr>
      <w:widowControl w:val="off"/>
    </w:pPr>
  </w:style>
  <w:style w:type="paragraph" w:styleId="BodyText2">
    <w:name w:val="Основной текст 2"/>
    <w:basedOn w:val="Normal"/>
    <w:next w:val="BodyText2"/>
    <w:link w:val="UserStyle_11"/>
    <w:rPr>
      <w:rFonts w:eastAsia="Calibri"/>
      <w:sz w:val="24"/>
      <w:szCs w:val="24"/>
    </w:rPr>
    <w:pPr>
      <w:spacing w:lineRule="auto" w:line="480" w:after="120"/>
    </w:pPr>
  </w:style>
  <w:style w:type="character" w:styleId="UserStyle_11">
    <w:name w:val="Основной текст 2 Знак"/>
    <w:next w:val="UserStyle_11"/>
    <w:link w:val="BodyText2"/>
    <w:locked/>
    <w:rPr>
      <w:rFonts w:eastAsia="Calibri"/>
      <w:sz w:val="24"/>
      <w:szCs w:val="24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rPr>
      <w:sz w:val="24"/>
      <w:szCs w:val="24"/>
    </w:rPr>
    <w:pPr>
      <w:contextualSpacing w:val="true"/>
      <w:ind w:left="720"/>
    </w:pPr>
  </w:style>
  <w:style w:type="paragraph" w:styleId="UserStyle_12">
    <w:name w:val="western"/>
    <w:basedOn w:val="Normal"/>
    <w:next w:val="UserStyle_12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paragraph" w:styleId="UserStyle_13">
    <w:name w:val="Основной текст с отступом 21"/>
    <w:basedOn w:val="Normal"/>
    <w:next w:val="UserStyle_13"/>
    <w:link w:val="Normal"/>
    <w:rPr>
      <w:sz w:val="28"/>
      <w:lang w:eastAsia="ar-SA"/>
    </w:rPr>
    <w:pPr>
      <w:ind w:left="720" w:hanging="851"/>
      <w:jc w:val="both"/>
    </w:pPr>
  </w:style>
  <w:style w:type="character" w:styleId="UserStyle_14">
    <w:name w:val="Body text_"/>
    <w:next w:val="UserStyle_14"/>
    <w:link w:val="UserStyle_15"/>
    <w:locked/>
    <w:rPr>
      <w:sz w:val="25"/>
      <w:szCs w:val="25"/>
      <w:lang w:bidi="ar-SA"/>
    </w:rPr>
  </w:style>
  <w:style w:type="paragraph" w:styleId="UserStyle_15">
    <w:name w:val="Body text"/>
    <w:basedOn w:val="Normal"/>
    <w:next w:val="UserStyle_15"/>
    <w:link w:val="UserStyle_14"/>
    <w:rPr>
      <w:sz w:val="25"/>
      <w:szCs w:val="25"/>
      <w:lang w:val="en-US" w:eastAsia="en-US"/>
    </w:rPr>
    <w:pPr>
      <w:jc w:val="both"/>
      <w:spacing w:lineRule="exact" w:line="322"/>
      <w:shd w:val="clear" w:fill="FFFFFF" w:color="FFFFFF"/>
    </w:pPr>
  </w:style>
  <w:style w:type="paragraph" w:styleId="Title">
    <w:name w:val="Название"/>
    <w:basedOn w:val="Normal"/>
    <w:next w:val="Title"/>
    <w:link w:val="UserStyle_16"/>
    <w:rPr>
      <w:b/>
      <w:bCs/>
      <w:sz w:val="40"/>
      <w:lang w:val="en-US" w:eastAsia="en-US"/>
    </w:rPr>
    <w:pPr>
      <w:jc w:val="center"/>
      <w:tabs>
        <w:tab w:val="left" w:pos="2280" w:leader="none"/>
      </w:tabs>
    </w:pPr>
  </w:style>
  <w:style w:type="character" w:styleId="UserStyle_17">
    <w:name w:val="Font Style11"/>
    <w:next w:val="UserStyle_17"/>
    <w:link w:val="Normal"/>
    <w:rPr>
      <w:rFonts w:ascii="Times New Roman" w:hAnsi="Times New Roman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rPr>
      <w:sz w:val="16"/>
      <w:szCs w:val="16"/>
    </w:rPr>
    <w:pPr>
      <w:spacing w:after="120"/>
    </w:pPr>
  </w:style>
  <w:style w:type="paragraph" w:styleId="UserStyle_18">
    <w:name w:val="ConsPlusNonformat"/>
    <w:next w:val="UserStyle_18"/>
    <w:link w:val="Normal"/>
    <w:rPr>
      <w:rFonts w:ascii="Courier New" w:hAnsi="Courier New" w:eastAsia="Calibri"/>
      <w:lang w:val="ru-RU" w:bidi="ar-SA" w:eastAsia="ru-RU"/>
    </w:rPr>
    <w:pPr>
      <w:widowControl w:val="off"/>
    </w:pPr>
  </w:style>
  <w:style w:type="character" w:styleId="UserStyle_16">
    <w:name w:val="Название Знак"/>
    <w:next w:val="UserStyle_16"/>
    <w:link w:val="Title"/>
    <w:rPr>
      <w:b/>
      <w:bCs/>
      <w:sz w:val="40"/>
    </w:rPr>
  </w:style>
  <w:style w:type="character" w:styleId="UserStyle_19">
    <w:name w:val="Основной текст_"/>
    <w:next w:val="UserStyle_19"/>
    <w:link w:val="UserStyle_20"/>
    <w:locked/>
    <w:rPr>
      <w:shd w:val="clear" w:fill="FFFFFF" w:color="FFFFFF"/>
    </w:rPr>
  </w:style>
  <w:style w:type="paragraph" w:styleId="UserStyle_20">
    <w:name w:val="Основной текст1"/>
    <w:basedOn w:val="Normal"/>
    <w:next w:val="UserStyle_20"/>
    <w:link w:val="UserStyle_19"/>
    <w:rPr>
      <w:lang w:val="en-US" w:eastAsia="en-US"/>
    </w:rPr>
    <w:pPr>
      <w:ind w:firstLine="400"/>
      <w:shd w:val="clear" w:fill="FFFFFF" w:color="FFFFFF"/>
      <w:widowControl w:val="off"/>
    </w:pPr>
  </w:style>
  <w:style w:type="character" w:styleId="UserStyle_4">
    <w:name w:val="Основной текст Знак"/>
    <w:next w:val="UserStyle_4"/>
    <w:link w:val="BodyText"/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2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Normal"/>
    <w:next w:val="UserStyle_22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23">
    <w:name w:val="fontstyle01"/>
    <w:basedOn w:val="NormalCharacter"/>
    <w:next w:val="UserStyle_23"/>
    <w:link w:val="Normal"/>
    <w:rPr>
      <w:rFonts w:ascii="TimesNewRomanPS-BoldMT" w:hAnsi="TimesNewRomanPS-BoldMT"/>
      <w:b/>
      <w:bCs/>
      <w:color w:val="000000"/>
      <w:sz w:val="26"/>
      <w:szCs w:val="26"/>
    </w:rPr>
  </w:style>
  <w:style w:type="paragraph" w:styleId="UserStyle_24">
    <w:name w:val="Основной текст 21"/>
    <w:basedOn w:val="Normal"/>
    <w:next w:val="UserStyle_24"/>
    <w:link w:val="Normal"/>
    <w:rPr>
      <w:rFonts w:ascii="Calibri" w:hAnsi="Calibri" w:eastAsia="Calibri"/>
      <w:sz w:val="22"/>
      <w:szCs w:val="22"/>
      <w:lang w:bidi="hi-IN" w:eastAsia="hi-IN"/>
    </w:rPr>
    <w:pPr>
      <w:ind w:left="567" w:firstLine="567"/>
      <w:jc w:val="both"/>
      <w:spacing w:lineRule="auto" w:line="480" w:after="120"/>
      <w:widowControl w:val="off"/>
    </w:pPr>
  </w:style>
  <w:style w:type="character" w:styleId="UserStyle_25">
    <w:name w:val="Основной текст (4)"/>
    <w:next w:val="UserStyle_25"/>
    <w:link w:val="Normal"/>
    <w:rPr>
      <w:b/>
      <w:bCs/>
      <w:sz w:val="26"/>
      <w:szCs w:val="26"/>
      <w:lang w:bidi="ar-SA"/>
    </w:rPr>
  </w:style>
  <w:style w:type="character" w:styleId="UserStyle_26">
    <w:name w:val="Основной текст (2)_"/>
    <w:basedOn w:val="NormalCharacter"/>
    <w:next w:val="UserStyle_26"/>
    <w:link w:val="UserStyle_27"/>
    <w:locked/>
    <w:rPr>
      <w:b/>
      <w:bCs/>
      <w:sz w:val="25"/>
      <w:szCs w:val="25"/>
      <w:shd w:val="clear" w:fill="FFFFFF" w:color="FFFFFF"/>
    </w:rPr>
  </w:style>
  <w:style w:type="paragraph" w:styleId="UserStyle_27">
    <w:name w:val="Основной текст (2)"/>
    <w:basedOn w:val="Normal"/>
    <w:next w:val="UserStyle_27"/>
    <w:link w:val="UserStyle_26"/>
    <w:rPr>
      <w:b/>
      <w:bCs/>
      <w:sz w:val="25"/>
      <w:szCs w:val="25"/>
    </w:rPr>
    <w:pPr>
      <w:jc w:val="center"/>
      <w:spacing w:lineRule="atLeast" w:line="240" w:after="360" w:before="240"/>
      <w:shd w:val="clear" w:fill="FFFFFF" w:color="FFFFFF"/>
    </w:pPr>
  </w:style>
  <w:style w:type="paragraph" w:styleId="UserStyle_28">
    <w:name w:val="Обычный + По ширине"/>
    <w:basedOn w:val="Normal"/>
    <w:next w:val="UserStyle_28"/>
    <w:link w:val="Normal"/>
    <w:rPr>
      <w:sz w:val="28"/>
      <w:szCs w:val="24"/>
    </w:rPr>
    <w:pPr>
      <w:jc w:val="both"/>
    </w:pPr>
  </w:style>
  <w:style w:type="character" w:styleId="UserStyle_0">
    <w:name w:val="Заголовок 1 Знак"/>
    <w:basedOn w:val="NormalCharacter"/>
    <w:next w:val="UserStyle_0"/>
    <w:link w:val="Heading1"/>
    <w:rPr>
      <w:b/>
      <w:bCs/>
      <w:sz w:val="48"/>
      <w:szCs w:val="48"/>
    </w:rPr>
  </w:style>
  <w:style w:type="character" w:styleId="UserStyle_29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NormalCharacter"/>
    <w:next w:val="UserStyle_29"/>
    <w:link w:val="Normal"/>
  </w:style>
  <w:style w:type="paragraph" w:styleId="User">
    <w:name w:val="Без интервала"/>
    <w:next w:val="User"/>
    <w:link w:val="UserStyle_30"/>
    <w:rPr>
      <w:rFonts w:ascii="Calibri" w:hAnsi="Calibri" w:eastAsia="Calibri"/>
      <w:sz w:val="22"/>
      <w:szCs w:val="22"/>
      <w:lang w:bidi="ar-SA" w:eastAsia="en-US"/>
    </w:rPr>
  </w:style>
  <w:style w:type="character" w:styleId="UserStyle_2">
    <w:name w:val="Верхний колонтитул Знак"/>
    <w:basedOn w:val="NormalCharacter"/>
    <w:next w:val="UserStyle_2"/>
    <w:link w:val="Header"/>
  </w:style>
  <w:style w:type="character" w:styleId="UserStyle_1">
    <w:name w:val="Заголовок 3 Знак"/>
    <w:basedOn w:val="NormalCharacter"/>
    <w:next w:val="UserStyle_1"/>
    <w:link w:val="Heading3"/>
    <w:rPr>
      <w:b/>
      <w:bCs/>
      <w:sz w:val="27"/>
      <w:szCs w:val="27"/>
    </w:rPr>
  </w:style>
  <w:style w:type="character" w:styleId="UserStyle_3">
    <w:name w:val="Текст выноски Знак"/>
    <w:basedOn w:val="NormalCharacter"/>
    <w:next w:val="UserStyle_3"/>
    <w:link w:val="Acetate"/>
    <w:semiHidden/>
    <w:rPr>
      <w:rFonts w:ascii="Tahoma" w:hAnsi="Tahoma"/>
      <w:sz w:val="16"/>
      <w:szCs w:val="16"/>
    </w:rPr>
  </w:style>
  <w:style w:type="paragraph" w:styleId="UserStyle_31">
    <w:name w:val="page_text"/>
    <w:basedOn w:val="Normal"/>
    <w:next w:val="UserStyle_31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32">
    <w:name w:val="Paragraph Style"/>
    <w:next w:val="UserStyle_32"/>
    <w:link w:val="Normal"/>
    <w:rPr>
      <w:rFonts w:ascii="Arial" w:hAnsi="Arial"/>
      <w:sz w:val="24"/>
      <w:szCs w:val="24"/>
      <w:lang w:val="ru-RU" w:bidi="ar-SA" w:eastAsia="ru-RU"/>
    </w:rPr>
    <w:pPr>
      <w:widowControl w:val="off"/>
    </w:pPr>
  </w:style>
  <w:style w:type="paragraph" w:styleId="UserStyle_33">
    <w:name w:val="u"/>
    <w:basedOn w:val="Normal"/>
    <w:next w:val="UserStyle_33"/>
    <w:link w:val="Normal"/>
    <w:rPr>
      <w:sz w:val="24"/>
      <w:szCs w:val="24"/>
    </w:rPr>
    <w:pPr>
      <w:spacing w:after="100" w:afterAutospacing="1" w:before="100" w:beforeAutospacing="1"/>
    </w:pPr>
  </w:style>
  <w:style w:type="paragraph" w:styleId="UserStyle_34">
    <w:name w:val="ConsNormal"/>
    <w:next w:val="UserStyle_34"/>
    <w:link w:val="Normal"/>
    <w:rPr>
      <w:rFonts w:ascii="Arial" w:hAnsi="Arial"/>
      <w:lang w:val="ru-RU" w:bidi="ar-SA" w:eastAsia="ru-RU"/>
    </w:rPr>
    <w:pPr>
      <w:ind w:firstLine="720"/>
      <w:widowControl w:val="off"/>
    </w:pPr>
  </w:style>
  <w:style w:type="character" w:styleId="UserStyle_35">
    <w:name w:val="grame"/>
    <w:basedOn w:val="NormalCharacter"/>
    <w:next w:val="UserStyle_35"/>
    <w:link w:val="Normal"/>
  </w:style>
  <w:style w:type="paragraph" w:styleId="PlainText">
    <w:name w:val="Текст"/>
    <w:basedOn w:val="Normal"/>
    <w:next w:val="PlainText"/>
    <w:link w:val="UserStyle_36"/>
    <w:rPr>
      <w:rFonts w:ascii="Courier New" w:hAnsi="Courier New"/>
      <w:b/>
      <w:color w:val="000000"/>
    </w:rPr>
  </w:style>
  <w:style w:type="character" w:styleId="UserStyle_36">
    <w:name w:val="Текст Знак"/>
    <w:basedOn w:val="NormalCharacter"/>
    <w:next w:val="UserStyle_36"/>
    <w:link w:val="PlainText"/>
    <w:rPr>
      <w:rFonts w:ascii="Courier New" w:hAnsi="Courier New"/>
      <w:b/>
      <w:color w:val="000000"/>
    </w:rPr>
  </w:style>
  <w:style w:type="paragraph" w:styleId="HtmlPre">
    <w:name w:val="Стандартный HTML"/>
    <w:basedOn w:val="Normal"/>
    <w:next w:val="HtmlPre"/>
    <w:link w:val="UserStyle_37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UserStyle_37">
    <w:name w:val="Стандартный HTML Знак"/>
    <w:basedOn w:val="NormalCharacter"/>
    <w:next w:val="UserStyle_37"/>
    <w:link w:val="HtmlPre"/>
    <w:rPr>
      <w:rFonts w:ascii="Courier New" w:hAnsi="Courier New"/>
    </w:rPr>
  </w:style>
  <w:style w:type="paragraph" w:styleId="UserStyle_38">
    <w:name w:val="Table Paragraph"/>
    <w:basedOn w:val="Normal"/>
    <w:next w:val="UserStyle_38"/>
    <w:link w:val="Normal"/>
    <w:rPr>
      <w:sz w:val="24"/>
      <w:szCs w:val="24"/>
    </w:rPr>
    <w:pPr>
      <w:widowControl w:val="off"/>
    </w:pPr>
  </w:style>
  <w:style w:type="character" w:styleId="UserStyle_39">
    <w:name w:val="Заголовок №3_"/>
    <w:basedOn w:val="NormalCharacter"/>
    <w:next w:val="UserStyle_39"/>
    <w:link w:val="UserStyle_40"/>
    <w:rPr>
      <w:b/>
      <w:bCs/>
      <w:sz w:val="22"/>
      <w:szCs w:val="22"/>
      <w:shd w:val="clear" w:fill="FFFFFF" w:color="FFFFFF"/>
    </w:rPr>
  </w:style>
  <w:style w:type="paragraph" w:styleId="UserStyle_41">
    <w:name w:val="Основной текст4"/>
    <w:basedOn w:val="Normal"/>
    <w:next w:val="UserStyle_41"/>
    <w:link w:val="Normal"/>
    <w:rPr>
      <w:color w:val="000000"/>
      <w:sz w:val="22"/>
      <w:szCs w:val="22"/>
    </w:rPr>
    <w:pPr>
      <w:jc w:val="center"/>
      <w:spacing w:lineRule="exact" w:line="283" w:before="360"/>
      <w:shd w:val="clear" w:fill="FFFFFF" w:color="FFFFFF"/>
      <w:widowControl w:val="off"/>
    </w:pPr>
  </w:style>
  <w:style w:type="paragraph" w:styleId="UserStyle_40">
    <w:name w:val="Заголовок №3"/>
    <w:basedOn w:val="Normal"/>
    <w:next w:val="UserStyle_40"/>
    <w:link w:val="UserStyle_39"/>
    <w:rPr>
      <w:b/>
      <w:bCs/>
      <w:sz w:val="22"/>
      <w:szCs w:val="22"/>
    </w:rPr>
    <w:pPr>
      <w:ind w:hanging="1940"/>
      <w:jc w:val="both"/>
      <w:spacing w:lineRule="atLeast" w:line="0" w:after="300"/>
      <w:shd w:val="clear" w:fill="FFFFFF" w:color="FFFFFF"/>
      <w:widowControl w:val="off"/>
      <w:outlineLvl w:val="2"/>
    </w:pPr>
  </w:style>
  <w:style w:type="paragraph" w:styleId="UserStyle_42">
    <w:name w:val="p16"/>
    <w:basedOn w:val="Normal"/>
    <w:next w:val="UserStyle_4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3">
    <w:name w:val="p12"/>
    <w:basedOn w:val="Normal"/>
    <w:next w:val="UserStyle_4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4">
    <w:name w:val="p13"/>
    <w:basedOn w:val="Normal"/>
    <w:next w:val="UserStyle_4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5">
    <w:name w:val="p17"/>
    <w:basedOn w:val="Normal"/>
    <w:next w:val="UserStyle_4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6">
    <w:name w:val="p19"/>
    <w:basedOn w:val="Normal"/>
    <w:next w:val="UserStyle_4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7">
    <w:name w:val="p20"/>
    <w:basedOn w:val="Normal"/>
    <w:next w:val="UserStyle_47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48">
    <w:name w:val="s1"/>
    <w:next w:val="UserStyle_48"/>
    <w:link w:val="Normal"/>
  </w:style>
  <w:style w:type="character" w:styleId="UserStyle_49">
    <w:name w:val="s3"/>
    <w:next w:val="UserStyle_49"/>
    <w:link w:val="Normal"/>
  </w:style>
  <w:style w:type="character" w:styleId="UserStyle_50">
    <w:name w:val="apple-converted-space"/>
    <w:next w:val="UserStyle_50"/>
    <w:link w:val="Normal"/>
  </w:style>
  <w:style w:type="paragraph" w:styleId="UserStyle_51">
    <w:name w:val="p15"/>
    <w:basedOn w:val="Normal"/>
    <w:next w:val="UserStyle_5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2">
    <w:name w:val="s4"/>
    <w:next w:val="UserStyle_52"/>
    <w:link w:val="Normal"/>
  </w:style>
  <w:style w:type="paragraph" w:styleId="UserStyle_53">
    <w:name w:val="p18"/>
    <w:basedOn w:val="Normal"/>
    <w:next w:val="UserStyle_5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4">
    <w:name w:val="p23"/>
    <w:basedOn w:val="Normal"/>
    <w:next w:val="UserStyle_5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5">
    <w:name w:val="p25"/>
    <w:basedOn w:val="Normal"/>
    <w:next w:val="UserStyle_5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6">
    <w:name w:val="p26"/>
    <w:basedOn w:val="Normal"/>
    <w:next w:val="UserStyle_5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7">
    <w:name w:val="s6"/>
    <w:next w:val="UserStyle_57"/>
    <w:link w:val="Normal"/>
  </w:style>
  <w:style w:type="character" w:styleId="UserStyle_58">
    <w:name w:val="s7"/>
    <w:next w:val="UserStyle_58"/>
    <w:link w:val="Normal"/>
  </w:style>
  <w:style w:type="paragraph" w:styleId="UserStyle_59">
    <w:name w:val="p27"/>
    <w:basedOn w:val="Normal"/>
    <w:next w:val="UserStyle_59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60">
    <w:name w:val="s8"/>
    <w:next w:val="UserStyle_60"/>
    <w:link w:val="Normal"/>
  </w:style>
  <w:style w:type="paragraph" w:styleId="UserStyle_61">
    <w:name w:val="p28"/>
    <w:basedOn w:val="Normal"/>
    <w:next w:val="UserStyle_6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2">
    <w:name w:val="p29"/>
    <w:basedOn w:val="Normal"/>
    <w:next w:val="UserStyle_6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3">
    <w:name w:val="p30"/>
    <w:basedOn w:val="Normal"/>
    <w:next w:val="UserStyle_6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30">
    <w:name w:val="Без интервала Знак"/>
    <w:next w:val="UserStyle_30"/>
    <w:link w:val="User"/>
    <w:locked/>
    <w:rPr>
      <w:rFonts w:ascii="Calibri" w:hAnsi="Calibri" w:eastAsia="Calibri"/>
      <w:sz w:val="22"/>
      <w:szCs w:val="22"/>
      <w:lang w:bidi="ar-SA" w:eastAsia="en-US"/>
    </w:rPr>
  </w:style>
  <w:style w:type="paragraph" w:styleId="UserStyle_64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Normal"/>
    <w:next w:val="UserStyle_64"/>
    <w:link w:val="Normal"/>
    <w:rPr>
      <w:sz w:val="24"/>
      <w:szCs w:val="24"/>
    </w:rPr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